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3B1" w:rsidRDefault="00C313B1" w:rsidP="00C313B1">
      <w:pPr>
        <w:pStyle w:val="2"/>
        <w:numPr>
          <w:ilvl w:val="0"/>
          <w:numId w:val="0"/>
        </w:numPr>
        <w:tabs>
          <w:tab w:val="clear" w:pos="1985"/>
          <w:tab w:val="left" w:pos="0"/>
        </w:tabs>
        <w:spacing w:after="120" w:line="280" w:lineRule="exact"/>
        <w:jc w:val="left"/>
        <w:rPr>
          <w:rFonts w:ascii="Tahoma" w:hAnsi="Tahoma" w:cs="Tahoma"/>
          <w:sz w:val="22"/>
          <w:szCs w:val="22"/>
          <w:lang w:eastAsia="en-US"/>
        </w:rPr>
      </w:pPr>
      <w:bookmarkStart w:id="0" w:name="_Toc400450271"/>
      <w:bookmarkStart w:id="1" w:name="_GoBack"/>
      <w:bookmarkEnd w:id="1"/>
      <w:r>
        <w:rPr>
          <w:rFonts w:ascii="Tahoma" w:hAnsi="Tahoma" w:cs="Tahoma"/>
          <w:sz w:val="22"/>
          <w:szCs w:val="22"/>
        </w:rPr>
        <w:t xml:space="preserve">ΟΔΗΓΙΑ </w:t>
      </w:r>
      <w:r w:rsidRPr="008607BA">
        <w:rPr>
          <w:rFonts w:ascii="Tahoma" w:hAnsi="Tahoma" w:cs="Tahoma"/>
          <w:sz w:val="22"/>
          <w:szCs w:val="22"/>
        </w:rPr>
        <w:t>O.VIII.2_1</w:t>
      </w:r>
      <w:r w:rsidRPr="007078E7">
        <w:rPr>
          <w:rFonts w:ascii="Tahoma" w:hAnsi="Tahoma" w:cs="Tahoma"/>
          <w:sz w:val="22"/>
          <w:szCs w:val="22"/>
        </w:rPr>
        <w:t xml:space="preserve">: </w:t>
      </w:r>
      <w:bookmarkEnd w:id="0"/>
      <w:r w:rsidRPr="008607BA">
        <w:rPr>
          <w:rFonts w:ascii="Tahoma" w:hAnsi="Tahoma" w:cs="Tahoma"/>
          <w:sz w:val="22"/>
          <w:szCs w:val="22"/>
          <w:lang w:eastAsia="en-US"/>
        </w:rPr>
        <w:t>Ορισμοί για παρατυπίες και θέματα απάτης</w:t>
      </w:r>
    </w:p>
    <w:p w:rsidR="00C039BA" w:rsidRPr="00E55BBD" w:rsidRDefault="00C039BA" w:rsidP="00C313B1">
      <w:pPr>
        <w:rPr>
          <w:rFonts w:ascii="Tahoma" w:hAnsi="Tahoma" w:cs="Tahoma"/>
          <w:b/>
          <w:color w:val="C00000"/>
          <w:sz w:val="20"/>
          <w:szCs w:val="20"/>
          <w:lang w:val="en-US"/>
        </w:rPr>
      </w:pPr>
    </w:p>
    <w:tbl>
      <w:tblPr>
        <w:tblW w:w="9781" w:type="dxa"/>
        <w:tblInd w:w="-34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2"/>
        <w:gridCol w:w="7169"/>
      </w:tblGrid>
      <w:tr w:rsidR="00C313B1" w:rsidRPr="00170101" w:rsidTr="001B68C1">
        <w:tc>
          <w:tcPr>
            <w:tcW w:w="261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313B1" w:rsidRPr="00332668" w:rsidRDefault="00C313B1" w:rsidP="0053711A">
            <w:pPr>
              <w:spacing w:after="120" w:line="280" w:lineRule="exac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2668">
              <w:rPr>
                <w:rFonts w:ascii="Tahoma" w:hAnsi="Tahoma" w:cs="Tahoma"/>
                <w:sz w:val="20"/>
                <w:szCs w:val="20"/>
              </w:rPr>
              <w:t>«Παρατυπία</w:t>
            </w:r>
            <w:r w:rsidR="007518A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332668">
              <w:rPr>
                <w:rFonts w:ascii="Tahoma" w:hAnsi="Tahoma" w:cs="Tahoma"/>
                <w:sz w:val="20"/>
                <w:szCs w:val="20"/>
              </w:rPr>
              <w:t>-</w:t>
            </w:r>
            <w:r w:rsidR="007518A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332668">
              <w:rPr>
                <w:rFonts w:ascii="Tahoma" w:hAnsi="Tahoma" w:cs="Tahoma"/>
                <w:sz w:val="20"/>
                <w:szCs w:val="20"/>
              </w:rPr>
              <w:t>irregularity»:</w:t>
            </w:r>
          </w:p>
        </w:tc>
        <w:tc>
          <w:tcPr>
            <w:tcW w:w="716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476BE" w:rsidRPr="006476BE" w:rsidRDefault="00C313B1" w:rsidP="00E55BBD">
            <w:pPr>
              <w:spacing w:after="120" w:line="240" w:lineRule="exact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Κ</w:t>
            </w:r>
            <w:r w:rsidRPr="00332668">
              <w:rPr>
                <w:rFonts w:ascii="Tahoma" w:hAnsi="Tahoma" w:cs="Tahoma"/>
                <w:sz w:val="20"/>
                <w:szCs w:val="20"/>
              </w:rPr>
              <w:t xml:space="preserve">άθε παράβαση του ενωσιακού δικαίου ή του σχετικού με την εφαρμογή του εθνικού δικαίου, η οποία προκύπτει από πράξη ή παράλειψη οικονομικού φορέα που εμπλέκεται στη θέσπιση των ΕΔΕΤ, και η οποία ζημιώνει ή ενδέχεται να ζημιώσει τον προϋπολογισμό της Ένωσης με καταλογισμό αδικαιολόγητης δαπάνης στον προϋπολογισμό της Ένωσης. </w:t>
            </w:r>
            <w:r w:rsidR="006476BE" w:rsidRPr="00332668">
              <w:rPr>
                <w:rFonts w:ascii="Tahoma" w:hAnsi="Tahoma" w:cs="Tahoma"/>
                <w:i/>
                <w:sz w:val="16"/>
                <w:szCs w:val="16"/>
              </w:rPr>
              <w:t>[Πηγή: άρθρ</w:t>
            </w:r>
            <w:r w:rsidR="006476BE">
              <w:rPr>
                <w:rFonts w:ascii="Tahoma" w:hAnsi="Tahoma" w:cs="Tahoma"/>
                <w:i/>
                <w:sz w:val="16"/>
                <w:szCs w:val="16"/>
              </w:rPr>
              <w:t xml:space="preserve">ο 2 </w:t>
            </w:r>
            <w:r w:rsidR="006476BE" w:rsidRPr="006476BE">
              <w:rPr>
                <w:rFonts w:ascii="Tahoma" w:hAnsi="Tahoma" w:cs="Tahoma"/>
                <w:i/>
                <w:sz w:val="16"/>
                <w:szCs w:val="16"/>
              </w:rPr>
              <w:t>στ. (36)</w:t>
            </w:r>
            <w:r w:rsidR="006476BE">
              <w:rPr>
                <w:rFonts w:ascii="Tahoma" w:hAnsi="Tahoma" w:cs="Tahoma"/>
                <w:i/>
                <w:sz w:val="16"/>
                <w:szCs w:val="16"/>
              </w:rPr>
              <w:t xml:space="preserve"> Καν. (ΕΕ) 1303/2013, άρθρο </w:t>
            </w:r>
            <w:r w:rsidR="006476BE" w:rsidRPr="006476BE">
              <w:rPr>
                <w:rFonts w:ascii="Tahoma" w:hAnsi="Tahoma" w:cs="Tahoma"/>
                <w:i/>
                <w:sz w:val="16"/>
                <w:szCs w:val="16"/>
              </w:rPr>
              <w:t>3 στ. 19</w:t>
            </w:r>
            <w:r w:rsidR="006476BE" w:rsidRPr="00332668">
              <w:rPr>
                <w:rFonts w:ascii="Tahoma" w:hAnsi="Tahoma" w:cs="Tahoma"/>
                <w:i/>
                <w:sz w:val="16"/>
                <w:szCs w:val="16"/>
              </w:rPr>
              <w:t xml:space="preserve"> Ν. 4314/2014-</w:t>
            </w:r>
            <w:r w:rsidR="006476BE" w:rsidRPr="006476BE">
              <w:rPr>
                <w:rFonts w:ascii="Tahoma" w:hAnsi="Tahoma" w:cs="Tahoma"/>
                <w:i/>
                <w:sz w:val="16"/>
                <w:szCs w:val="16"/>
              </w:rPr>
              <w:t xml:space="preserve"> ΦΕΚ Α 265/23-12-2014</w:t>
            </w:r>
            <w:r w:rsidR="006476BE" w:rsidRPr="00332668">
              <w:rPr>
                <w:rFonts w:ascii="Tahoma" w:hAnsi="Tahoma" w:cs="Tahoma"/>
                <w:i/>
                <w:sz w:val="16"/>
                <w:szCs w:val="16"/>
              </w:rPr>
              <w:t>]</w:t>
            </w:r>
          </w:p>
        </w:tc>
      </w:tr>
      <w:tr w:rsidR="00C313B1" w:rsidRPr="00170101" w:rsidTr="001B68C1">
        <w:tc>
          <w:tcPr>
            <w:tcW w:w="97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D5323" w:rsidRPr="00AD5323" w:rsidRDefault="00C313B1" w:rsidP="005D22EE">
            <w:pPr>
              <w:spacing w:after="12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B7EE2">
              <w:rPr>
                <w:rFonts w:ascii="Tahoma" w:hAnsi="Tahoma" w:cs="Tahoma"/>
                <w:i/>
                <w:color w:val="000000"/>
                <w:sz w:val="18"/>
                <w:szCs w:val="18"/>
              </w:rPr>
              <w:t xml:space="preserve">Διευκρινήσεις: </w:t>
            </w:r>
            <w:r w:rsidRPr="003B7EE2">
              <w:rPr>
                <w:rFonts w:ascii="Tahoma" w:hAnsi="Tahoma" w:cs="Tahoma"/>
                <w:color w:val="000000"/>
                <w:sz w:val="18"/>
                <w:szCs w:val="18"/>
              </w:rPr>
              <w:t>Ο ορισμός αυτός καλύπτει όλες τις αντικειμενικές συμπεριφορές (πράξ</w:t>
            </w:r>
            <w:r w:rsidRPr="006476BE">
              <w:rPr>
                <w:rFonts w:ascii="Tahoma" w:hAnsi="Tahoma" w:cs="Tahoma"/>
                <w:color w:val="000000"/>
                <w:sz w:val="18"/>
                <w:szCs w:val="18"/>
              </w:rPr>
              <w:t>εις ή</w:t>
            </w:r>
            <w:r w:rsidR="0015038E" w:rsidRPr="003B7EE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παραλείψεις</w:t>
            </w:r>
            <w:r w:rsidRPr="003B7EE2">
              <w:rPr>
                <w:rFonts w:ascii="Tahoma" w:hAnsi="Tahoma" w:cs="Tahoma"/>
                <w:color w:val="000000"/>
                <w:sz w:val="18"/>
                <w:szCs w:val="18"/>
              </w:rPr>
              <w:t>) οικονομικού φορέα, συμπεριλαμβανομένων των µη εκ προθέσεως συμπεριφορών που θα μπορούσαν να ζημιώσουν τον κοινοτικό προϋπολογισμό.</w:t>
            </w:r>
            <w:r w:rsidR="005D22E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AD5323" w:rsidRPr="00AD5323">
              <w:rPr>
                <w:rFonts w:ascii="Tahoma" w:hAnsi="Tahoma" w:cs="Tahoma"/>
                <w:color w:val="000000"/>
                <w:sz w:val="18"/>
                <w:szCs w:val="18"/>
              </w:rPr>
              <w:t>Άρα η παρατυπία είναι μία ευρεία έννοια, καθώς περιλαμβάνει τόσο τις συμπεριφορές χωρίς πρόθεση όσο και τις συμπεριφορές με πρόθεση (εμπεριέχει εννοιολογικά την απάτη)</w:t>
            </w:r>
            <w:r w:rsidR="00AD5323">
              <w:rPr>
                <w:rStyle w:val="a8"/>
                <w:rFonts w:ascii="Tahoma" w:hAnsi="Tahoma" w:cs="Tahoma"/>
                <w:color w:val="000000"/>
                <w:sz w:val="18"/>
                <w:szCs w:val="18"/>
              </w:rPr>
              <w:footnoteReference w:id="1"/>
            </w:r>
            <w:r w:rsidR="00AD5323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  <w:p w:rsidR="00C313B1" w:rsidRPr="00D733AA" w:rsidRDefault="005D22EE" w:rsidP="0053711A">
            <w:pPr>
              <w:spacing w:after="12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Η ανακοίνωση παρατυπιών </w:t>
            </w:r>
            <w:r w:rsidRPr="00A237D8">
              <w:rPr>
                <w:rFonts w:ascii="Tahoma" w:hAnsi="Tahoma" w:cs="Tahoma"/>
                <w:sz w:val="18"/>
                <w:szCs w:val="18"/>
              </w:rPr>
              <w:t xml:space="preserve">στην </w:t>
            </w:r>
            <w:r w:rsidRPr="00A237D8">
              <w:rPr>
                <w:rFonts w:ascii="Tahoma" w:hAnsi="Tahoma" w:cs="Tahoma"/>
                <w:sz w:val="18"/>
                <w:szCs w:val="18"/>
                <w:lang w:val="en-US"/>
              </w:rPr>
              <w:t>EE</w:t>
            </w:r>
            <w:r w:rsidRPr="0007281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γίνεται σύμφωνα με </w:t>
            </w:r>
            <w:r w:rsidRPr="00B72126">
              <w:rPr>
                <w:rFonts w:ascii="Tahoma" w:hAnsi="Tahoma" w:cs="Tahoma"/>
                <w:sz w:val="18"/>
                <w:szCs w:val="18"/>
              </w:rPr>
              <w:t>τη Διαδικασία ΔΙΙΙ_3</w:t>
            </w:r>
            <w:r w:rsidRPr="00A237D8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C313B1" w:rsidRPr="00170101" w:rsidTr="001B68C1">
        <w:tc>
          <w:tcPr>
            <w:tcW w:w="978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313B1" w:rsidRPr="00332668" w:rsidRDefault="00C313B1" w:rsidP="0053711A">
            <w:pPr>
              <w:spacing w:after="120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</w:p>
        </w:tc>
      </w:tr>
      <w:tr w:rsidR="00C313B1" w:rsidRPr="00170101" w:rsidTr="001B68C1">
        <w:tc>
          <w:tcPr>
            <w:tcW w:w="2612" w:type="dxa"/>
            <w:tcBorders>
              <w:bottom w:val="nil"/>
              <w:right w:val="nil"/>
            </w:tcBorders>
            <w:shd w:val="clear" w:color="auto" w:fill="auto"/>
          </w:tcPr>
          <w:p w:rsidR="00C313B1" w:rsidRPr="00332668" w:rsidRDefault="00C313B1" w:rsidP="00D733AA">
            <w:pPr>
              <w:spacing w:after="120"/>
              <w:jc w:val="lef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2668">
              <w:rPr>
                <w:rFonts w:ascii="Tahoma" w:hAnsi="Tahoma" w:cs="Tahoma"/>
                <w:sz w:val="20"/>
                <w:szCs w:val="20"/>
              </w:rPr>
              <w:t>«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Πρώτη διοικητική ή δικαστική πράξη </w:t>
            </w:r>
            <w:r w:rsidRPr="004F256C">
              <w:rPr>
                <w:rFonts w:ascii="Tahoma" w:hAnsi="Tahoma" w:cs="Tahoma"/>
                <w:color w:val="000000"/>
                <w:sz w:val="18"/>
                <w:szCs w:val="18"/>
              </w:rPr>
              <w:t>διαπίστωσης»</w:t>
            </w:r>
            <w:r w:rsidR="00D733AA">
              <w:rPr>
                <w:rFonts w:ascii="Tahoma" w:hAnsi="Tahoma" w:cs="Tahoma"/>
                <w:color w:val="000000"/>
                <w:sz w:val="18"/>
                <w:szCs w:val="18"/>
              </w:rPr>
              <w:t xml:space="preserve"> (</w:t>
            </w:r>
            <w:r w:rsidR="00D733AA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PACA</w:t>
            </w:r>
            <w:r w:rsidR="00D733AA" w:rsidRPr="00D733AA">
              <w:rPr>
                <w:rFonts w:ascii="Tahoma" w:hAnsi="Tahoma" w:cs="Tahoma"/>
                <w:color w:val="000000"/>
                <w:sz w:val="18"/>
                <w:szCs w:val="18"/>
              </w:rPr>
              <w:t>)</w:t>
            </w:r>
            <w:r w:rsidRPr="00332668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7169" w:type="dxa"/>
            <w:tcBorders>
              <w:left w:val="nil"/>
              <w:bottom w:val="nil"/>
            </w:tcBorders>
            <w:shd w:val="clear" w:color="auto" w:fill="auto"/>
          </w:tcPr>
          <w:p w:rsidR="00C313B1" w:rsidRPr="00822769" w:rsidRDefault="00C313B1" w:rsidP="00E55BBD">
            <w:pPr>
              <w:spacing w:after="120" w:line="240" w:lineRule="exact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Η</w:t>
            </w:r>
            <w:r w:rsidRPr="004F256C">
              <w:rPr>
                <w:rFonts w:ascii="Tahoma" w:hAnsi="Tahoma" w:cs="Tahoma"/>
                <w:sz w:val="20"/>
                <w:szCs w:val="20"/>
              </w:rPr>
              <w:t xml:space="preserve"> πρώτη έγγραφη εκτίμηση από αρμόδια, διοικητική ή δικαστική, αρχή που καταλήγει στο συμπέρασμα, βάσει συγκεκριμένων πραγματικών περιστατικών, ότι έχει διαπραχθεί παρατυπία, με την επιφύλαξη ενδεχόμενης μεταγενέστερης αναθεώρησης ή αναίρεσης αυτού του</w:t>
            </w:r>
            <w:r w:rsidR="00E105A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F256C">
              <w:rPr>
                <w:rFonts w:ascii="Tahoma" w:hAnsi="Tahoma" w:cs="Tahoma"/>
                <w:sz w:val="20"/>
                <w:szCs w:val="20"/>
              </w:rPr>
              <w:t>συμπεράσματος εξαιτίας εξελίξεων στο πλαίσιο της σχετικής διοικητικής ή δικαστικής διαδικασίας</w:t>
            </w:r>
            <w:r w:rsidRPr="00332668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332668">
              <w:rPr>
                <w:rFonts w:ascii="Tahoma" w:hAnsi="Tahoma" w:cs="Tahoma"/>
                <w:i/>
                <w:sz w:val="16"/>
                <w:szCs w:val="16"/>
              </w:rPr>
              <w:t xml:space="preserve">[Πηγή: </w:t>
            </w:r>
            <w:r>
              <w:rPr>
                <w:rFonts w:ascii="Tahoma" w:hAnsi="Tahoma" w:cs="Tahoma"/>
                <w:i/>
                <w:sz w:val="16"/>
                <w:szCs w:val="16"/>
              </w:rPr>
              <w:t xml:space="preserve">Κατ’ εξουσιοδότηση </w:t>
            </w:r>
            <w:r w:rsidR="007151BF">
              <w:rPr>
                <w:rFonts w:ascii="Tahoma" w:hAnsi="Tahoma" w:cs="Tahoma"/>
                <w:i/>
                <w:sz w:val="16"/>
                <w:szCs w:val="16"/>
              </w:rPr>
              <w:t>Κα</w:t>
            </w:r>
            <w:r w:rsidR="007151BF" w:rsidRPr="00332668">
              <w:rPr>
                <w:rFonts w:ascii="Tahoma" w:hAnsi="Tahoma" w:cs="Tahoma"/>
                <w:i/>
                <w:sz w:val="16"/>
                <w:szCs w:val="16"/>
              </w:rPr>
              <w:t xml:space="preserve">νονισμός </w:t>
            </w:r>
            <w:r w:rsidRPr="00332668">
              <w:rPr>
                <w:rFonts w:ascii="Tahoma" w:hAnsi="Tahoma" w:cs="Tahoma"/>
                <w:i/>
                <w:sz w:val="16"/>
                <w:szCs w:val="16"/>
              </w:rPr>
              <w:t>(Ε</w:t>
            </w:r>
            <w:r w:rsidR="004F761E">
              <w:rPr>
                <w:rFonts w:ascii="Tahoma" w:hAnsi="Tahoma" w:cs="Tahoma"/>
                <w:i/>
                <w:sz w:val="16"/>
                <w:szCs w:val="16"/>
                <w:lang w:val="en-US"/>
              </w:rPr>
              <w:t>E</w:t>
            </w:r>
            <w:r w:rsidRPr="00332668">
              <w:rPr>
                <w:rFonts w:ascii="Tahoma" w:hAnsi="Tahoma" w:cs="Tahoma"/>
                <w:i/>
                <w:sz w:val="16"/>
                <w:szCs w:val="16"/>
              </w:rPr>
              <w:t xml:space="preserve">) </w:t>
            </w:r>
            <w:r>
              <w:rPr>
                <w:rFonts w:ascii="Tahoma" w:hAnsi="Tahoma" w:cs="Tahoma"/>
                <w:i/>
                <w:sz w:val="16"/>
                <w:szCs w:val="16"/>
              </w:rPr>
              <w:t xml:space="preserve">για την υποβολή έκθεσης παρατυπιών </w:t>
            </w:r>
            <w:r w:rsidR="00D733AA">
              <w:rPr>
                <w:rFonts w:ascii="Tahoma" w:hAnsi="Tahoma" w:cs="Tahoma"/>
                <w:i/>
                <w:sz w:val="16"/>
                <w:szCs w:val="16"/>
              </w:rPr>
              <w:t>2015/</w:t>
            </w:r>
            <w:r w:rsidR="004F761E" w:rsidRPr="004F761E">
              <w:rPr>
                <w:rFonts w:ascii="Tahoma" w:hAnsi="Tahoma" w:cs="Tahoma"/>
                <w:i/>
                <w:sz w:val="16"/>
                <w:szCs w:val="16"/>
              </w:rPr>
              <w:t>1970</w:t>
            </w:r>
            <w:r w:rsidR="00D733AA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r w:rsidR="00822769" w:rsidRPr="00822769">
              <w:rPr>
                <w:rFonts w:ascii="Tahoma" w:hAnsi="Tahoma" w:cs="Tahoma"/>
                <w:i/>
                <w:sz w:val="16"/>
                <w:szCs w:val="16"/>
              </w:rPr>
              <w:t>(</w:t>
            </w:r>
            <w:r w:rsidR="004F761E" w:rsidRPr="004F761E">
              <w:rPr>
                <w:rFonts w:ascii="Tahoma" w:hAnsi="Tahoma" w:cs="Tahoma"/>
                <w:i/>
                <w:sz w:val="16"/>
                <w:szCs w:val="16"/>
              </w:rPr>
              <w:t>08-07-2015</w:t>
            </w:r>
            <w:r w:rsidR="00822769" w:rsidRPr="00822769">
              <w:rPr>
                <w:rFonts w:ascii="Tahoma" w:hAnsi="Tahoma" w:cs="Tahoma"/>
                <w:i/>
                <w:sz w:val="16"/>
                <w:szCs w:val="16"/>
              </w:rPr>
              <w:t>)</w:t>
            </w:r>
            <w:r w:rsidR="003273B5">
              <w:rPr>
                <w:rFonts w:ascii="Tahoma" w:hAnsi="Tahoma" w:cs="Tahoma"/>
                <w:i/>
                <w:sz w:val="16"/>
                <w:szCs w:val="16"/>
              </w:rPr>
              <w:t>, άρθρο 2]</w:t>
            </w:r>
          </w:p>
        </w:tc>
      </w:tr>
      <w:tr w:rsidR="00D733AA" w:rsidRPr="00170101" w:rsidTr="001B68C1">
        <w:tc>
          <w:tcPr>
            <w:tcW w:w="9781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:rsidR="00533751" w:rsidRDefault="00D733AA" w:rsidP="00CC3021">
            <w:pPr>
              <w:spacing w:after="120"/>
              <w:rPr>
                <w:rFonts w:ascii="Tahoma" w:hAnsi="Tahoma" w:cs="Tahoma"/>
                <w:iCs/>
                <w:color w:val="000000"/>
                <w:sz w:val="18"/>
                <w:szCs w:val="18"/>
              </w:rPr>
            </w:pPr>
            <w:r w:rsidRPr="003B7EE2">
              <w:rPr>
                <w:rFonts w:ascii="Tahoma" w:hAnsi="Tahoma" w:cs="Tahoma"/>
                <w:i/>
                <w:color w:val="000000"/>
                <w:sz w:val="18"/>
                <w:szCs w:val="18"/>
              </w:rPr>
              <w:t xml:space="preserve">Διευκρινήσεις: </w:t>
            </w:r>
            <w:r w:rsidRPr="00CC3021">
              <w:rPr>
                <w:rFonts w:ascii="Tahoma" w:hAnsi="Tahoma" w:cs="Tahoma"/>
                <w:iCs/>
                <w:color w:val="000000"/>
                <w:sz w:val="18"/>
                <w:szCs w:val="18"/>
              </w:rPr>
              <w:t xml:space="preserve">Στο πλαίσιο του ΣΔΕ, </w:t>
            </w:r>
            <w:r w:rsidRPr="00CC3021">
              <w:rPr>
                <w:rFonts w:ascii="Tahoma" w:hAnsi="Tahoma" w:cs="Tahoma"/>
                <w:iCs/>
                <w:color w:val="000000"/>
                <w:sz w:val="18"/>
                <w:szCs w:val="18"/>
                <w:lang w:val="en-US"/>
              </w:rPr>
              <w:t>PACA</w:t>
            </w:r>
            <w:r w:rsidRPr="00CC3021">
              <w:rPr>
                <w:rFonts w:ascii="Tahoma" w:hAnsi="Tahoma" w:cs="Tahoma"/>
                <w:iCs/>
                <w:color w:val="000000"/>
                <w:sz w:val="18"/>
                <w:szCs w:val="18"/>
              </w:rPr>
              <w:t xml:space="preserve"> μπορεί να είναι τα Έντυπα όπου αποτυπώνεται η γνώμη της ΔΑ/ ΕΦ κατά τους προληπτικούς ελέγχους στις δημόσιες συμβάσεις, οι Εκθέσεις </w:t>
            </w:r>
            <w:r w:rsidR="00ED07EC">
              <w:rPr>
                <w:rFonts w:ascii="Tahoma" w:hAnsi="Tahoma" w:cs="Tahoma"/>
                <w:iCs/>
                <w:color w:val="000000"/>
                <w:sz w:val="18"/>
                <w:szCs w:val="18"/>
              </w:rPr>
              <w:t>Ε</w:t>
            </w:r>
            <w:r w:rsidRPr="00CC3021">
              <w:rPr>
                <w:rFonts w:ascii="Tahoma" w:hAnsi="Tahoma" w:cs="Tahoma"/>
                <w:iCs/>
                <w:color w:val="000000"/>
                <w:sz w:val="18"/>
                <w:szCs w:val="18"/>
              </w:rPr>
              <w:t xml:space="preserve">παληθεύσεων των ΔΑ/ΕΦ, οι Εκθέσεις </w:t>
            </w:r>
            <w:r w:rsidR="00ED07EC">
              <w:rPr>
                <w:rFonts w:ascii="Tahoma" w:hAnsi="Tahoma" w:cs="Tahoma"/>
                <w:iCs/>
                <w:color w:val="000000"/>
                <w:sz w:val="18"/>
                <w:szCs w:val="18"/>
              </w:rPr>
              <w:t>Ε</w:t>
            </w:r>
            <w:r w:rsidRPr="00CC3021">
              <w:rPr>
                <w:rFonts w:ascii="Tahoma" w:hAnsi="Tahoma" w:cs="Tahoma"/>
                <w:iCs/>
                <w:color w:val="000000"/>
                <w:sz w:val="18"/>
                <w:szCs w:val="18"/>
              </w:rPr>
              <w:t xml:space="preserve">πιθεωρήσεων της ΑΠ, οι </w:t>
            </w:r>
            <w:r w:rsidR="00ED07EC">
              <w:rPr>
                <w:rFonts w:ascii="Tahoma" w:hAnsi="Tahoma" w:cs="Tahoma"/>
                <w:iCs/>
                <w:color w:val="000000"/>
                <w:sz w:val="18"/>
                <w:szCs w:val="18"/>
              </w:rPr>
              <w:t>Ε</w:t>
            </w:r>
            <w:r w:rsidRPr="00CC3021">
              <w:rPr>
                <w:rFonts w:ascii="Tahoma" w:hAnsi="Tahoma" w:cs="Tahoma"/>
                <w:iCs/>
                <w:color w:val="000000"/>
                <w:sz w:val="18"/>
                <w:szCs w:val="18"/>
              </w:rPr>
              <w:t xml:space="preserve">κθέσεις </w:t>
            </w:r>
            <w:r w:rsidR="00ED07EC">
              <w:rPr>
                <w:rFonts w:ascii="Tahoma" w:hAnsi="Tahoma" w:cs="Tahoma"/>
                <w:iCs/>
                <w:color w:val="000000"/>
                <w:sz w:val="18"/>
                <w:szCs w:val="18"/>
              </w:rPr>
              <w:t>Ε</w:t>
            </w:r>
            <w:r w:rsidRPr="00CC3021">
              <w:rPr>
                <w:rFonts w:ascii="Tahoma" w:hAnsi="Tahoma" w:cs="Tahoma"/>
                <w:iCs/>
                <w:color w:val="000000"/>
                <w:sz w:val="18"/>
                <w:szCs w:val="18"/>
              </w:rPr>
              <w:t xml:space="preserve">λέγχων της ΑΕ, </w:t>
            </w:r>
            <w:r w:rsidR="00CC3021">
              <w:rPr>
                <w:rFonts w:ascii="Tahoma" w:hAnsi="Tahoma" w:cs="Tahoma"/>
                <w:iCs/>
                <w:color w:val="000000"/>
                <w:sz w:val="18"/>
                <w:szCs w:val="18"/>
              </w:rPr>
              <w:t xml:space="preserve">τα πορίσματα άλλων ελεγκτικών αρχών/ οργάνων, κλπ </w:t>
            </w:r>
            <w:r w:rsidR="00CC3021" w:rsidRPr="00CC3021">
              <w:rPr>
                <w:rFonts w:ascii="Tahoma" w:hAnsi="Tahoma" w:cs="Tahoma"/>
                <w:iCs/>
                <w:color w:val="000000"/>
                <w:sz w:val="18"/>
                <w:szCs w:val="18"/>
              </w:rPr>
              <w:t xml:space="preserve">όπου καταγράφονται οι εντοπισμένες παρατυπίες. </w:t>
            </w:r>
          </w:p>
          <w:p w:rsidR="00D733AA" w:rsidRPr="00D733AA" w:rsidRDefault="00CC3021" w:rsidP="00533751">
            <w:pPr>
              <w:spacing w:after="12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iCs/>
                <w:color w:val="000000"/>
                <w:sz w:val="18"/>
                <w:szCs w:val="18"/>
              </w:rPr>
              <w:t xml:space="preserve">Επίσης, </w:t>
            </w:r>
            <w:r>
              <w:rPr>
                <w:rFonts w:ascii="Tahoma" w:hAnsi="Tahoma" w:cs="Tahoma"/>
                <w:iCs/>
                <w:color w:val="000000"/>
                <w:sz w:val="18"/>
                <w:szCs w:val="18"/>
                <w:lang w:val="en-US"/>
              </w:rPr>
              <w:t>PACA</w:t>
            </w:r>
            <w:r>
              <w:rPr>
                <w:rFonts w:ascii="Tahoma" w:hAnsi="Tahoma" w:cs="Tahoma"/>
                <w:iCs/>
                <w:color w:val="000000"/>
                <w:sz w:val="18"/>
                <w:szCs w:val="18"/>
              </w:rPr>
              <w:t xml:space="preserve"> μπορεί να είναι και η επιστολή που αποστέλλεται στην </w:t>
            </w:r>
            <w:r>
              <w:rPr>
                <w:rFonts w:ascii="Tahoma" w:hAnsi="Tahoma" w:cs="Tahoma"/>
                <w:iCs/>
                <w:color w:val="000000"/>
                <w:sz w:val="18"/>
                <w:szCs w:val="18"/>
                <w:lang w:val="en-US"/>
              </w:rPr>
              <w:t>AFCOS</w:t>
            </w:r>
            <w:r w:rsidRPr="00CC3021">
              <w:rPr>
                <w:rFonts w:ascii="Tahoma" w:hAnsi="Tahoma" w:cs="Tahoma"/>
                <w:iCs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ahoma" w:hAnsi="Tahoma" w:cs="Tahoma"/>
                <w:iCs/>
                <w:color w:val="000000"/>
                <w:sz w:val="18"/>
                <w:szCs w:val="18"/>
              </w:rPr>
              <w:t>όταν η παρατυπία συνιστά «υπόνοια απάτης» (</w:t>
            </w:r>
            <w:r w:rsidR="00533751">
              <w:rPr>
                <w:rFonts w:ascii="Tahoma" w:hAnsi="Tahoma" w:cs="Tahoma"/>
                <w:iCs/>
                <w:color w:val="000000"/>
                <w:sz w:val="18"/>
                <w:szCs w:val="18"/>
              </w:rPr>
              <w:t>η</w:t>
            </w:r>
            <w:r>
              <w:rPr>
                <w:rFonts w:ascii="Tahoma" w:hAnsi="Tahoma" w:cs="Tahoma"/>
                <w:iCs/>
                <w:color w:val="000000"/>
                <w:sz w:val="18"/>
                <w:szCs w:val="18"/>
              </w:rPr>
              <w:t xml:space="preserve"> οπο</w:t>
            </w:r>
            <w:r w:rsidR="00533751">
              <w:rPr>
                <w:rFonts w:ascii="Tahoma" w:hAnsi="Tahoma" w:cs="Tahoma"/>
                <w:iCs/>
                <w:color w:val="000000"/>
                <w:sz w:val="18"/>
                <w:szCs w:val="18"/>
              </w:rPr>
              <w:t>ία συνοδεύεται  από τη σχετική</w:t>
            </w:r>
            <w:r>
              <w:rPr>
                <w:rFonts w:ascii="Tahoma" w:hAnsi="Tahoma" w:cs="Tahoma"/>
                <w:iCs/>
                <w:color w:val="000000"/>
                <w:sz w:val="18"/>
                <w:szCs w:val="18"/>
              </w:rPr>
              <w:t xml:space="preserve"> αναφορά διερεύνησης της ΔΑ/ΕΦ ή ΑΠ και το υλικό τεκμηρίωσης, </w:t>
            </w:r>
            <w:r w:rsidRPr="00F5542F"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>βλ. Διαδικασία Δ</w:t>
            </w:r>
            <w:r w:rsidRPr="00F5542F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val="en-US"/>
              </w:rPr>
              <w:t>VIII</w:t>
            </w:r>
            <w:r w:rsidRPr="00F5542F"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>_2)</w:t>
            </w:r>
            <w:r w:rsidR="00F5542F"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>.</w:t>
            </w:r>
            <w:r w:rsidRPr="00F5542F"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C313B1" w:rsidRPr="00170101" w:rsidTr="001B68C1">
        <w:tc>
          <w:tcPr>
            <w:tcW w:w="978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55BBD" w:rsidRPr="00E55BBD" w:rsidRDefault="00E55BBD" w:rsidP="0053711A">
            <w:pPr>
              <w:spacing w:after="120"/>
              <w:rPr>
                <w:rFonts w:ascii="Tahoma" w:hAnsi="Tahoma" w:cs="Tahoma"/>
                <w:i/>
                <w:color w:val="000000"/>
                <w:sz w:val="20"/>
                <w:szCs w:val="20"/>
                <w:lang w:val="en-US"/>
              </w:rPr>
            </w:pPr>
          </w:p>
        </w:tc>
      </w:tr>
      <w:tr w:rsidR="00C313B1" w:rsidRPr="00170101" w:rsidTr="001B68C1">
        <w:tc>
          <w:tcPr>
            <w:tcW w:w="2612" w:type="dxa"/>
            <w:tcBorders>
              <w:bottom w:val="nil"/>
              <w:right w:val="nil"/>
            </w:tcBorders>
            <w:shd w:val="clear" w:color="auto" w:fill="auto"/>
          </w:tcPr>
          <w:p w:rsidR="00C313B1" w:rsidRPr="00332668" w:rsidRDefault="00C313B1" w:rsidP="0053711A">
            <w:pPr>
              <w:spacing w:after="120" w:line="280" w:lineRule="exac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2668">
              <w:rPr>
                <w:rFonts w:ascii="Tahoma" w:hAnsi="Tahoma" w:cs="Tahoma"/>
                <w:sz w:val="20"/>
                <w:szCs w:val="20"/>
              </w:rPr>
              <w:t>«Οικονομικός φορέας»:</w:t>
            </w:r>
          </w:p>
        </w:tc>
        <w:tc>
          <w:tcPr>
            <w:tcW w:w="7169" w:type="dxa"/>
            <w:tcBorders>
              <w:left w:val="nil"/>
              <w:bottom w:val="nil"/>
            </w:tcBorders>
            <w:shd w:val="clear" w:color="auto" w:fill="auto"/>
          </w:tcPr>
          <w:p w:rsidR="00C313B1" w:rsidRPr="0053711A" w:rsidRDefault="00C313B1" w:rsidP="00E55BBD">
            <w:pPr>
              <w:spacing w:after="120" w:line="240" w:lineRule="exact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Ο</w:t>
            </w:r>
            <w:r w:rsidRPr="00332668">
              <w:rPr>
                <w:rFonts w:ascii="Tahoma" w:hAnsi="Tahoma" w:cs="Tahoma"/>
                <w:sz w:val="20"/>
                <w:szCs w:val="20"/>
              </w:rPr>
              <w:t xml:space="preserve">ποιοδήποτε φυσικό ή νομικό πρόσωπο ή άλλη οντότητα που λαμβάνει </w:t>
            </w:r>
            <w:r w:rsidRPr="003B7EE2">
              <w:rPr>
                <w:rFonts w:ascii="Tahoma" w:hAnsi="Tahoma" w:cs="Tahoma"/>
                <w:sz w:val="20"/>
                <w:szCs w:val="20"/>
              </w:rPr>
              <w:t xml:space="preserve">μέρος στην εφαρμογή της βοήθειας από τα ΕΔΕΤ, με εξαίρεση </w:t>
            </w:r>
            <w:r w:rsidRPr="003B7EE2">
              <w:rPr>
                <w:rFonts w:ascii="Tahoma" w:hAnsi="Tahoma" w:cs="Tahoma"/>
                <w:sz w:val="20"/>
                <w:szCs w:val="20"/>
                <w:lang w:val="en-US"/>
              </w:rPr>
              <w:t>K</w:t>
            </w:r>
            <w:r w:rsidRPr="003B7EE2">
              <w:rPr>
                <w:rFonts w:ascii="Tahoma" w:hAnsi="Tahoma" w:cs="Tahoma"/>
                <w:sz w:val="20"/>
                <w:szCs w:val="20"/>
              </w:rPr>
              <w:t>-</w:t>
            </w:r>
            <w:r w:rsidRPr="003B7EE2">
              <w:rPr>
                <w:rFonts w:ascii="Tahoma" w:hAnsi="Tahoma" w:cs="Tahoma"/>
                <w:sz w:val="20"/>
                <w:szCs w:val="20"/>
                <w:lang w:val="en-US"/>
              </w:rPr>
              <w:t>M</w:t>
            </w:r>
            <w:r w:rsidRPr="003B7EE2">
              <w:rPr>
                <w:rFonts w:ascii="Tahoma" w:hAnsi="Tahoma" w:cs="Tahoma"/>
                <w:sz w:val="20"/>
                <w:szCs w:val="20"/>
              </w:rPr>
              <w:t xml:space="preserve"> που ασκεί τα δικαιώματά του ως Δημόσια Αρχή. </w:t>
            </w:r>
            <w:r w:rsidRPr="003B7EE2">
              <w:rPr>
                <w:rFonts w:ascii="Tahoma" w:hAnsi="Tahoma" w:cs="Tahoma"/>
                <w:i/>
                <w:sz w:val="16"/>
                <w:szCs w:val="16"/>
              </w:rPr>
              <w:t>[Πηγή: άρθρο 2 στ. (37) Καν. (ΕΕ) 1303/2013, άρθρο 3 στ. 20 Ν. 4314/2014- ΦΕΚ Α 265/23-12-2014]</w:t>
            </w:r>
            <w:r w:rsidR="0053711A" w:rsidRPr="00AD5323">
              <w:rPr>
                <w:rFonts w:ascii="Tahoma" w:hAnsi="Tahoma" w:cs="Tahoma"/>
                <w:i/>
                <w:sz w:val="16"/>
                <w:szCs w:val="16"/>
              </w:rPr>
              <w:t xml:space="preserve">. </w:t>
            </w:r>
          </w:p>
        </w:tc>
      </w:tr>
      <w:tr w:rsidR="00ED07EC" w:rsidRPr="00170101" w:rsidTr="005F2BB6">
        <w:trPr>
          <w:trHeight w:val="712"/>
        </w:trPr>
        <w:tc>
          <w:tcPr>
            <w:tcW w:w="9781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:rsidR="00ED07EC" w:rsidRDefault="00ED07EC" w:rsidP="00041566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3B7EE2">
              <w:rPr>
                <w:rFonts w:ascii="Tahoma" w:hAnsi="Tahoma" w:cs="Tahoma"/>
                <w:i/>
                <w:color w:val="000000"/>
                <w:sz w:val="18"/>
                <w:szCs w:val="18"/>
              </w:rPr>
              <w:t xml:space="preserve">Διευκρινήσεις: </w:t>
            </w:r>
            <w:r w:rsidR="00C039BA">
              <w:rPr>
                <w:rFonts w:ascii="Tahoma" w:hAnsi="Tahoma" w:cs="Tahoma"/>
                <w:iCs/>
                <w:color w:val="000000"/>
                <w:sz w:val="18"/>
                <w:szCs w:val="18"/>
              </w:rPr>
              <w:t>Οικονομικός φορέας</w:t>
            </w:r>
            <w:r w:rsidR="00041566">
              <w:rPr>
                <w:rFonts w:ascii="Tahoma" w:hAnsi="Tahoma" w:cs="Tahoma"/>
                <w:iCs/>
                <w:color w:val="000000"/>
                <w:sz w:val="18"/>
                <w:szCs w:val="18"/>
              </w:rPr>
              <w:t xml:space="preserve">, εκτός από το Δικαιούχο και τον Ανάδοχο που εμπλέκονται στην υλοποίηση της Πράξης, </w:t>
            </w:r>
            <w:r w:rsidR="00C039BA">
              <w:rPr>
                <w:rFonts w:ascii="Tahoma" w:hAnsi="Tahoma" w:cs="Tahoma"/>
                <w:iCs/>
                <w:color w:val="000000"/>
                <w:sz w:val="18"/>
                <w:szCs w:val="18"/>
              </w:rPr>
              <w:t>μπορεί να είναι και η Διαχειριστική Αρχή όταν είναι Δικαιούχος στο πλαίσιο ΕΠ (π.χ. Τεχνική Βοήθεια).</w:t>
            </w:r>
          </w:p>
        </w:tc>
      </w:tr>
    </w:tbl>
    <w:p w:rsidR="00C313B1" w:rsidRPr="00170101" w:rsidRDefault="00C313B1" w:rsidP="00C313B1">
      <w:pPr>
        <w:rPr>
          <w:rFonts w:ascii="Tahoma" w:hAnsi="Tahoma" w:cs="Tahoma"/>
          <w:sz w:val="20"/>
          <w:szCs w:val="20"/>
        </w:rPr>
      </w:pPr>
    </w:p>
    <w:tbl>
      <w:tblPr>
        <w:tblW w:w="9781" w:type="dxa"/>
        <w:tblInd w:w="-34" w:type="dxa"/>
        <w:tblBorders>
          <w:top w:val="dotted" w:sz="4" w:space="0" w:color="auto"/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2601"/>
        <w:gridCol w:w="7180"/>
      </w:tblGrid>
      <w:tr w:rsidR="00C313B1" w:rsidRPr="00170101" w:rsidTr="00773C13">
        <w:tc>
          <w:tcPr>
            <w:tcW w:w="2601" w:type="dxa"/>
            <w:shd w:val="clear" w:color="auto" w:fill="auto"/>
          </w:tcPr>
          <w:p w:rsidR="00C313B1" w:rsidRPr="00332668" w:rsidRDefault="00C313B1" w:rsidP="0053711A">
            <w:pPr>
              <w:spacing w:after="120" w:line="280" w:lineRule="exac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2668">
              <w:rPr>
                <w:rFonts w:ascii="Tahoma" w:hAnsi="Tahoma" w:cs="Tahoma"/>
                <w:sz w:val="20"/>
                <w:szCs w:val="20"/>
              </w:rPr>
              <w:t>«Συστημική παρατυπία»:</w:t>
            </w:r>
          </w:p>
        </w:tc>
        <w:tc>
          <w:tcPr>
            <w:tcW w:w="7180" w:type="dxa"/>
            <w:shd w:val="clear" w:color="auto" w:fill="auto"/>
          </w:tcPr>
          <w:p w:rsidR="00C313B1" w:rsidRPr="00101D35" w:rsidRDefault="00C313B1" w:rsidP="00E55BBD">
            <w:pPr>
              <w:spacing w:after="120" w:line="240" w:lineRule="exact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sz w:val="20"/>
                <w:szCs w:val="20"/>
              </w:rPr>
              <w:t>Π</w:t>
            </w:r>
            <w:r w:rsidRPr="00332668">
              <w:rPr>
                <w:rFonts w:ascii="Tahoma" w:hAnsi="Tahoma" w:cs="Tahoma"/>
                <w:sz w:val="20"/>
                <w:szCs w:val="20"/>
              </w:rPr>
              <w:t xml:space="preserve">αρατυπία που έχει ενδεχομένως επαναλαμβανόμενο χαρακτήρα, με μεγάλη πιθανότητα εμφάνισης σε παρεμφερή είδη πράξεων, η οποία προκύπτει από σοβαρή ανεπάρκεια στην αποτελεσματική λειτουργία των συστημάτων διαχείρισης και ελέγχου, συμπεριλαμβανομένης της παράλειψης καθορισμού </w:t>
            </w:r>
            <w:r w:rsidRPr="003B7EE2">
              <w:rPr>
                <w:rFonts w:ascii="Tahoma" w:hAnsi="Tahoma" w:cs="Tahoma"/>
                <w:sz w:val="20"/>
                <w:szCs w:val="20"/>
              </w:rPr>
              <w:t>κατάλληλων διαδικασιών, σύμφωνα με τον Κανονισμό 130/2013 και τους ειδικούς κανόνες για κάθε Ταμείο.</w:t>
            </w:r>
            <w:r w:rsidR="00D76E0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B7EE2">
              <w:rPr>
                <w:rFonts w:ascii="Tahoma" w:hAnsi="Tahoma" w:cs="Tahoma"/>
                <w:i/>
                <w:sz w:val="16"/>
                <w:szCs w:val="16"/>
              </w:rPr>
              <w:t xml:space="preserve">[Πηγή: άρθρο 2 στ. (38) Καν. (ΕΕ) 1303/2013, άρθρο 3 στ. 21 Ν. 4314/2014- </w:t>
            </w:r>
            <w:r w:rsidRPr="006476BE">
              <w:rPr>
                <w:rFonts w:ascii="Tahoma" w:hAnsi="Tahoma" w:cs="Tahoma"/>
                <w:i/>
                <w:sz w:val="16"/>
                <w:szCs w:val="16"/>
              </w:rPr>
              <w:t>ΦΕΚ Α 265/23-12-2014]</w:t>
            </w:r>
          </w:p>
        </w:tc>
      </w:tr>
    </w:tbl>
    <w:p w:rsidR="00C313B1" w:rsidRDefault="00C313B1" w:rsidP="00C313B1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-34" w:type="dxa"/>
        <w:tblBorders>
          <w:top w:val="dotted" w:sz="4" w:space="0" w:color="auto"/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2601"/>
        <w:gridCol w:w="7061"/>
      </w:tblGrid>
      <w:tr w:rsidR="00C039BA" w:rsidRPr="00101D35" w:rsidTr="00B90B00">
        <w:tc>
          <w:tcPr>
            <w:tcW w:w="2601" w:type="dxa"/>
            <w:shd w:val="clear" w:color="auto" w:fill="auto"/>
          </w:tcPr>
          <w:p w:rsidR="00C039BA" w:rsidRDefault="00C039BA" w:rsidP="00B90B00">
            <w:pPr>
              <w:spacing w:after="120" w:line="280" w:lineRule="exac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2668">
              <w:rPr>
                <w:rFonts w:ascii="Tahoma" w:hAnsi="Tahoma" w:cs="Tahoma"/>
                <w:sz w:val="20"/>
                <w:szCs w:val="20"/>
              </w:rPr>
              <w:t>«Σοβαρή ανεπάρκεια στην αποτελεσματική λειτουργία ενός ΣΔΕ»:</w:t>
            </w:r>
          </w:p>
          <w:p w:rsidR="00C039BA" w:rsidRPr="00332668" w:rsidRDefault="00C039BA" w:rsidP="00B90B00">
            <w:pPr>
              <w:spacing w:after="120" w:line="280" w:lineRule="exac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061" w:type="dxa"/>
            <w:shd w:val="clear" w:color="auto" w:fill="auto"/>
          </w:tcPr>
          <w:p w:rsidR="00C039BA" w:rsidRPr="00101D35" w:rsidRDefault="00C039BA" w:rsidP="00E55BBD">
            <w:pPr>
              <w:spacing w:after="120" w:line="240" w:lineRule="exact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sz w:val="20"/>
                <w:szCs w:val="20"/>
              </w:rPr>
              <w:t>Γ</w:t>
            </w:r>
            <w:r w:rsidRPr="00332668">
              <w:rPr>
                <w:rFonts w:ascii="Tahoma" w:hAnsi="Tahoma" w:cs="Tahoma"/>
                <w:sz w:val="20"/>
                <w:szCs w:val="20"/>
              </w:rPr>
              <w:t xml:space="preserve">ια τους σκοπούς της εφαρμογής των Ταμείων, ανεπάρκεια για την οποία είναι απαραίτητο να υπάρξουν ουσιώδεις βελτιώσεις στο σύστημα, η οποία εκθέτει τα Ταμεία σε σημαντικό κίνδυνο παρατυπιών και η ύπαρξη της οποίας δεν συμβιβάζεται με θετική ελεγκτική γνώμη σχετικά με τη λειτουργία του </w:t>
            </w:r>
            <w:r w:rsidRPr="003B7EE2">
              <w:rPr>
                <w:rFonts w:ascii="Tahoma" w:hAnsi="Tahoma" w:cs="Tahoma"/>
                <w:sz w:val="20"/>
                <w:szCs w:val="20"/>
              </w:rPr>
              <w:t xml:space="preserve">συστήματος διαχείρισης και ελέγχου. </w:t>
            </w:r>
            <w:r w:rsidRPr="003B7EE2">
              <w:rPr>
                <w:rFonts w:ascii="Tahoma" w:hAnsi="Tahoma" w:cs="Tahoma"/>
                <w:i/>
                <w:sz w:val="16"/>
                <w:szCs w:val="16"/>
              </w:rPr>
              <w:t>[Πηγή: άρθρο 2 στ. (39) Καν. (ΕΕ) 1303/2013, άρθρο 3 στ. 25 Ν. 4314/2014-</w:t>
            </w:r>
            <w:r w:rsidRPr="006476BE">
              <w:rPr>
                <w:rFonts w:ascii="Tahoma" w:hAnsi="Tahoma" w:cs="Tahoma"/>
                <w:i/>
                <w:sz w:val="16"/>
                <w:szCs w:val="16"/>
              </w:rPr>
              <w:t>ΦΕΚ Α 265/23-12-2014]</w:t>
            </w:r>
          </w:p>
        </w:tc>
      </w:tr>
    </w:tbl>
    <w:p w:rsidR="00C039BA" w:rsidRDefault="00C039BA" w:rsidP="00C313B1">
      <w:pPr>
        <w:rPr>
          <w:rFonts w:ascii="Tahoma" w:hAnsi="Tahoma" w:cs="Tahoma"/>
          <w:sz w:val="20"/>
          <w:szCs w:val="20"/>
          <w:lang w:val="en-US"/>
        </w:rPr>
      </w:pPr>
    </w:p>
    <w:p w:rsidR="00E55BBD" w:rsidRPr="00E55BBD" w:rsidRDefault="00E55BBD" w:rsidP="00C313B1">
      <w:pPr>
        <w:rPr>
          <w:rFonts w:ascii="Tahoma" w:hAnsi="Tahoma" w:cs="Tahoma"/>
          <w:sz w:val="20"/>
          <w:szCs w:val="20"/>
          <w:lang w:val="en-US"/>
        </w:rPr>
      </w:pPr>
    </w:p>
    <w:tbl>
      <w:tblPr>
        <w:tblW w:w="0" w:type="auto"/>
        <w:tblInd w:w="-34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7960"/>
      </w:tblGrid>
      <w:tr w:rsidR="00C313B1" w:rsidRPr="00170101" w:rsidTr="00E55BBD">
        <w:trPr>
          <w:trHeight w:val="720"/>
        </w:trPr>
        <w:tc>
          <w:tcPr>
            <w:tcW w:w="1702" w:type="dxa"/>
            <w:tcBorders>
              <w:bottom w:val="nil"/>
              <w:right w:val="nil"/>
            </w:tcBorders>
            <w:shd w:val="clear" w:color="auto" w:fill="auto"/>
          </w:tcPr>
          <w:p w:rsidR="00C313B1" w:rsidRPr="00332668" w:rsidRDefault="00C313B1" w:rsidP="0053711A">
            <w:pPr>
              <w:spacing w:after="120" w:line="280" w:lineRule="exac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2668">
              <w:rPr>
                <w:rFonts w:ascii="Tahoma" w:hAnsi="Tahoma" w:cs="Tahoma"/>
                <w:sz w:val="20"/>
                <w:szCs w:val="20"/>
              </w:rPr>
              <w:t>«Απάτη</w:t>
            </w:r>
            <w:r w:rsidR="007518A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332668">
              <w:rPr>
                <w:rFonts w:ascii="Tahoma" w:hAnsi="Tahoma" w:cs="Tahoma"/>
                <w:sz w:val="20"/>
                <w:szCs w:val="20"/>
              </w:rPr>
              <w:t>-fraud»:</w:t>
            </w:r>
          </w:p>
        </w:tc>
        <w:tc>
          <w:tcPr>
            <w:tcW w:w="7960" w:type="dxa"/>
            <w:tcBorders>
              <w:left w:val="nil"/>
              <w:bottom w:val="nil"/>
            </w:tcBorders>
            <w:shd w:val="clear" w:color="auto" w:fill="auto"/>
          </w:tcPr>
          <w:p w:rsidR="00C313B1" w:rsidRPr="00332668" w:rsidRDefault="00C313B1" w:rsidP="00E55BBD">
            <w:pPr>
              <w:tabs>
                <w:tab w:val="num" w:pos="426"/>
              </w:tabs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  <w:r w:rsidRPr="00332668">
              <w:rPr>
                <w:rFonts w:ascii="Tahoma" w:hAnsi="Tahoma" w:cs="Tahoma"/>
                <w:sz w:val="20"/>
                <w:szCs w:val="20"/>
              </w:rPr>
              <w:t>Απάτη εις βάρος των οικονομικών συμφερ</w:t>
            </w:r>
            <w:r w:rsidR="001B68C1">
              <w:rPr>
                <w:rFonts w:ascii="Tahoma" w:hAnsi="Tahoma" w:cs="Tahoma"/>
                <w:sz w:val="20"/>
                <w:szCs w:val="20"/>
              </w:rPr>
              <w:t>όντων των Ευρωπαϊκών Κοινοτήτων:</w:t>
            </w:r>
          </w:p>
          <w:p w:rsidR="00C313B1" w:rsidRPr="001B68C1" w:rsidRDefault="00C313B1" w:rsidP="00E55BBD">
            <w:pPr>
              <w:spacing w:before="60" w:line="240" w:lineRule="exact"/>
              <w:ind w:left="34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α) Ό</w:t>
            </w:r>
            <w:r w:rsidRPr="00332668">
              <w:rPr>
                <w:rFonts w:ascii="Tahoma" w:hAnsi="Tahoma" w:cs="Tahoma"/>
                <w:i/>
                <w:sz w:val="20"/>
                <w:szCs w:val="20"/>
              </w:rPr>
              <w:t>σον αφορά τις δαπάνες</w:t>
            </w:r>
            <w:r w:rsidRPr="00332668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1B68C1">
              <w:rPr>
                <w:rFonts w:ascii="Tahoma" w:hAnsi="Tahoma" w:cs="Tahoma"/>
                <w:i/>
                <w:sz w:val="20"/>
                <w:szCs w:val="20"/>
              </w:rPr>
              <w:t>είναι κάθε εκ προθέσεως πράξη ή παράλειψη, σχετικά με:</w:t>
            </w:r>
          </w:p>
          <w:p w:rsidR="00C313B1" w:rsidRPr="00332668" w:rsidRDefault="00C313B1" w:rsidP="00E55BBD">
            <w:pPr>
              <w:numPr>
                <w:ilvl w:val="0"/>
                <w:numId w:val="2"/>
              </w:numPr>
              <w:spacing w:before="0" w:line="240" w:lineRule="exact"/>
              <w:rPr>
                <w:rFonts w:ascii="Tahoma" w:hAnsi="Tahoma" w:cs="Tahoma"/>
                <w:sz w:val="20"/>
                <w:szCs w:val="20"/>
              </w:rPr>
            </w:pPr>
            <w:r w:rsidRPr="00332668">
              <w:rPr>
                <w:rFonts w:ascii="Tahoma" w:hAnsi="Tahoma" w:cs="Tahoma"/>
                <w:sz w:val="20"/>
                <w:szCs w:val="20"/>
              </w:rPr>
              <w:t>τη χρήση ή την υποβολή πλαστών, ανακριβών ή ελλιπών δηλώσεων ή εγγράφων, με αποτέλεσμα την αχρε</w:t>
            </w:r>
            <w:r w:rsidR="00D4289B">
              <w:rPr>
                <w:rFonts w:ascii="Tahoma" w:hAnsi="Tahoma" w:cs="Tahoma"/>
                <w:sz w:val="20"/>
                <w:szCs w:val="20"/>
              </w:rPr>
              <w:t>ώστητη</w:t>
            </w:r>
            <w:r w:rsidRPr="00332668">
              <w:rPr>
                <w:rFonts w:ascii="Tahoma" w:hAnsi="Tahoma" w:cs="Tahoma"/>
                <w:sz w:val="20"/>
                <w:szCs w:val="20"/>
              </w:rPr>
              <w:t xml:space="preserve"> είσπραξη ή παρακράτηση πόρων που προέρχονται από το γενικό προϋπολογισμό των Κοινοτήτων ή από τους προϋπολογισμούς των οποίων η διαχείριση ασκείται από τις Κοινότητες ή για λογαριασμό τους</w:t>
            </w:r>
          </w:p>
          <w:p w:rsidR="00C313B1" w:rsidRPr="00332668" w:rsidRDefault="00C313B1" w:rsidP="00E55BBD">
            <w:pPr>
              <w:numPr>
                <w:ilvl w:val="0"/>
                <w:numId w:val="2"/>
              </w:numPr>
              <w:spacing w:before="0" w:line="240" w:lineRule="exact"/>
              <w:rPr>
                <w:rFonts w:ascii="Tahoma" w:hAnsi="Tahoma" w:cs="Tahoma"/>
                <w:sz w:val="20"/>
                <w:szCs w:val="20"/>
              </w:rPr>
            </w:pPr>
            <w:r w:rsidRPr="00332668">
              <w:rPr>
                <w:rFonts w:ascii="Tahoma" w:hAnsi="Tahoma" w:cs="Tahoma"/>
                <w:sz w:val="20"/>
                <w:szCs w:val="20"/>
              </w:rPr>
              <w:t>την αποσιώπηση πληροφοριών κατά παράβαση ειδικής υποχρέωσης, με τα ίδια αποτελέσματα,</w:t>
            </w:r>
          </w:p>
          <w:p w:rsidR="00C313B1" w:rsidRPr="00332668" w:rsidRDefault="00C313B1" w:rsidP="00E55BBD">
            <w:pPr>
              <w:numPr>
                <w:ilvl w:val="0"/>
                <w:numId w:val="2"/>
              </w:numPr>
              <w:spacing w:before="0" w:line="240" w:lineRule="exact"/>
              <w:rPr>
                <w:rFonts w:ascii="Tahoma" w:hAnsi="Tahoma" w:cs="Tahoma"/>
                <w:sz w:val="20"/>
                <w:szCs w:val="20"/>
              </w:rPr>
            </w:pPr>
            <w:r w:rsidRPr="00332668">
              <w:rPr>
                <w:rFonts w:ascii="Tahoma" w:hAnsi="Tahoma" w:cs="Tahoma"/>
                <w:sz w:val="20"/>
                <w:szCs w:val="20"/>
              </w:rPr>
              <w:t>τη μη κατά προορισμό χρήση αυτών των πόρων, για σκοπούς άλλους από αυτούς για τους οποίους χορηγήθηκαν αρχικώς.</w:t>
            </w:r>
          </w:p>
          <w:p w:rsidR="00C313B1" w:rsidRPr="00332668" w:rsidRDefault="00C313B1" w:rsidP="00E55BBD">
            <w:pPr>
              <w:spacing w:before="60" w:line="240" w:lineRule="exact"/>
              <w:ind w:left="34"/>
              <w:rPr>
                <w:rFonts w:ascii="Tahoma" w:hAnsi="Tahoma" w:cs="Tahoma"/>
                <w:i/>
                <w:sz w:val="20"/>
                <w:szCs w:val="20"/>
              </w:rPr>
            </w:pPr>
            <w:r w:rsidRPr="00332668">
              <w:rPr>
                <w:rFonts w:ascii="Tahoma" w:hAnsi="Tahoma" w:cs="Tahoma"/>
                <w:i/>
                <w:sz w:val="20"/>
                <w:szCs w:val="20"/>
              </w:rPr>
              <w:t>β)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 Ό</w:t>
            </w:r>
            <w:r w:rsidRPr="00332668">
              <w:rPr>
                <w:rFonts w:ascii="Tahoma" w:hAnsi="Tahoma" w:cs="Tahoma"/>
                <w:i/>
                <w:sz w:val="20"/>
                <w:szCs w:val="20"/>
              </w:rPr>
              <w:t>σον αφορά τα έσοδα, κάθε εκ προθέσεως πράξη ή παράλειψη σχετικά με:</w:t>
            </w:r>
          </w:p>
          <w:p w:rsidR="00C313B1" w:rsidRPr="00332668" w:rsidRDefault="00C313B1" w:rsidP="00E55BBD">
            <w:pPr>
              <w:numPr>
                <w:ilvl w:val="0"/>
                <w:numId w:val="2"/>
              </w:numPr>
              <w:spacing w:before="0" w:line="240" w:lineRule="exact"/>
              <w:rPr>
                <w:rFonts w:ascii="Tahoma" w:hAnsi="Tahoma" w:cs="Tahoma"/>
                <w:sz w:val="20"/>
                <w:szCs w:val="20"/>
              </w:rPr>
            </w:pPr>
            <w:r w:rsidRPr="00332668">
              <w:rPr>
                <w:rFonts w:ascii="Tahoma" w:hAnsi="Tahoma" w:cs="Tahoma"/>
                <w:sz w:val="20"/>
                <w:szCs w:val="20"/>
              </w:rPr>
              <w:t>τη χρήση ή την υποβολή πλαστών, ανακριβών ή ελλιπών δηλώσεων ή εγγράφων, με αποτέλεσμα την παράνομη μείωση των πόρων του γενικού προϋπολογισμού των Κοινοτήτων ή των προϋπολογισμών των οποίων η διαχείριση ασκείται από τις Κοινότητες ή για λογαριασμό τους,</w:t>
            </w:r>
          </w:p>
          <w:p w:rsidR="00C313B1" w:rsidRPr="00332668" w:rsidRDefault="00C313B1" w:rsidP="00E55BBD">
            <w:pPr>
              <w:numPr>
                <w:ilvl w:val="0"/>
                <w:numId w:val="2"/>
              </w:numPr>
              <w:spacing w:before="0" w:line="240" w:lineRule="exact"/>
              <w:rPr>
                <w:rFonts w:ascii="Tahoma" w:hAnsi="Tahoma" w:cs="Tahoma"/>
                <w:sz w:val="20"/>
                <w:szCs w:val="20"/>
              </w:rPr>
            </w:pPr>
            <w:r w:rsidRPr="00332668">
              <w:rPr>
                <w:rFonts w:ascii="Tahoma" w:hAnsi="Tahoma" w:cs="Tahoma"/>
                <w:sz w:val="20"/>
                <w:szCs w:val="20"/>
              </w:rPr>
              <w:t>την αποσιώπηση πληροφοριών κατά παράβαση ειδικής υποχρέωσης, με τα ίδια αποτελέσματα,</w:t>
            </w:r>
          </w:p>
          <w:p w:rsidR="00C313B1" w:rsidRPr="00332668" w:rsidRDefault="00C313B1" w:rsidP="00E55BBD">
            <w:pPr>
              <w:numPr>
                <w:ilvl w:val="0"/>
                <w:numId w:val="2"/>
              </w:numPr>
              <w:spacing w:before="0" w:line="240" w:lineRule="exact"/>
              <w:rPr>
                <w:rFonts w:ascii="Tahoma" w:hAnsi="Tahoma" w:cs="Tahoma"/>
                <w:sz w:val="20"/>
                <w:szCs w:val="20"/>
              </w:rPr>
            </w:pPr>
            <w:r w:rsidRPr="00332668">
              <w:rPr>
                <w:rFonts w:ascii="Tahoma" w:hAnsi="Tahoma" w:cs="Tahoma"/>
                <w:sz w:val="20"/>
                <w:szCs w:val="20"/>
              </w:rPr>
              <w:t>τη μη κατά προορισμό χρήση ενός νόμιμα αποκτηθέντος πλεονεκτήματος με τα ίδια αποτελέσματα.</w:t>
            </w:r>
          </w:p>
        </w:tc>
      </w:tr>
      <w:tr w:rsidR="00C313B1" w:rsidRPr="00170101" w:rsidTr="008C3900">
        <w:trPr>
          <w:trHeight w:val="1070"/>
        </w:trPr>
        <w:tc>
          <w:tcPr>
            <w:tcW w:w="966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313B1" w:rsidRPr="00332668" w:rsidRDefault="00C313B1" w:rsidP="001B68C1">
            <w:pPr>
              <w:spacing w:after="120"/>
              <w:ind w:left="1735"/>
              <w:rPr>
                <w:rFonts w:ascii="Tahoma" w:hAnsi="Tahoma" w:cs="Tahoma"/>
                <w:i/>
                <w:color w:val="000000"/>
                <w:sz w:val="16"/>
                <w:szCs w:val="16"/>
              </w:rPr>
            </w:pPr>
            <w:r w:rsidRPr="00332668">
              <w:rPr>
                <w:rFonts w:ascii="Tahoma" w:hAnsi="Tahoma" w:cs="Tahoma"/>
                <w:i/>
                <w:sz w:val="16"/>
                <w:szCs w:val="16"/>
              </w:rPr>
              <w:t xml:space="preserve">[Πηγή: </w:t>
            </w:r>
            <w:r w:rsidRPr="00332668">
              <w:rPr>
                <w:rFonts w:ascii="Tahoma" w:hAnsi="Tahoma" w:cs="Tahoma"/>
                <w:bCs/>
                <w:i/>
                <w:sz w:val="16"/>
                <w:szCs w:val="16"/>
              </w:rPr>
              <w:t>Σύμβαση η οποία καταρτίζεται βάση του άρθρου Κ.3 της συνθήκης για την Ευρωπαϊκή Ένωση, σχετικά με την προστασία των οικονομικών συμφερόντων των Ευρωπαϊκών Κοινοτήτων</w:t>
            </w:r>
            <w:r w:rsidRPr="00332668">
              <w:rPr>
                <w:rFonts w:ascii="Tahoma" w:hAnsi="Tahoma" w:cs="Tahoma"/>
                <w:b/>
                <w:bCs/>
                <w:i/>
                <w:sz w:val="16"/>
                <w:szCs w:val="16"/>
              </w:rPr>
              <w:t xml:space="preserve">, </w:t>
            </w:r>
            <w:r w:rsidRPr="00332668">
              <w:rPr>
                <w:rFonts w:ascii="Tahoma" w:hAnsi="Tahoma" w:cs="Tahoma"/>
                <w:i/>
                <w:iCs/>
                <w:sz w:val="16"/>
                <w:szCs w:val="16"/>
              </w:rPr>
              <w:t>Επίσημη Εφημερίδα αριθ. OJ C 316 της 27/11/1995 σ. 0049</w:t>
            </w: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, η οποία έχει κυρωθεί με το άρθρο πρώτο του Ν. 2803/2000 – ΦΕΚ Α 48/3-3-2000</w:t>
            </w:r>
            <w:r w:rsidRPr="00332668">
              <w:rPr>
                <w:rFonts w:ascii="Tahoma" w:hAnsi="Tahoma" w:cs="Tahoma"/>
                <w:i/>
                <w:iCs/>
                <w:sz w:val="16"/>
                <w:szCs w:val="16"/>
              </w:rPr>
              <w:t>]</w:t>
            </w:r>
          </w:p>
        </w:tc>
      </w:tr>
      <w:tr w:rsidR="007518A3" w:rsidRPr="00C039BA" w:rsidTr="008C3900">
        <w:tc>
          <w:tcPr>
            <w:tcW w:w="9662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:rsidR="003B7EE2" w:rsidRPr="00C039BA" w:rsidRDefault="00C313B1" w:rsidP="001B68C1">
            <w:pPr>
              <w:spacing w:after="120"/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C039BA">
              <w:rPr>
                <w:rFonts w:ascii="Tahoma" w:hAnsi="Tahoma" w:cs="Tahoma"/>
                <w:i/>
                <w:sz w:val="18"/>
                <w:szCs w:val="18"/>
              </w:rPr>
              <w:t xml:space="preserve">Διευκρινήσεις: </w:t>
            </w:r>
            <w:r w:rsidRPr="00C039BA">
              <w:rPr>
                <w:rFonts w:ascii="Tahoma" w:hAnsi="Tahoma" w:cs="Tahoma"/>
                <w:sz w:val="18"/>
                <w:szCs w:val="18"/>
              </w:rPr>
              <w:t xml:space="preserve">Στην απλουστευμένη διατύπωση για τον ορισμό της απάτης τονίζεται ο συνδυασμός τριών πτυχών: παρατυπία, πρόθεση και επιζήμιες επιπτώσεις. </w:t>
            </w:r>
            <w:r w:rsidR="003B7EE2" w:rsidRPr="00C039BA">
              <w:rPr>
                <w:rFonts w:ascii="Tahoma" w:hAnsi="Tahoma" w:cs="Tahoma"/>
                <w:sz w:val="18"/>
                <w:szCs w:val="18"/>
                <w:u w:val="single"/>
              </w:rPr>
              <w:t>Η απάτη διακρίνεται από το γενικότερο όρο «παρατυπία» από τ</w:t>
            </w:r>
            <w:r w:rsidR="007151BF" w:rsidRPr="00C039BA">
              <w:rPr>
                <w:rFonts w:ascii="Tahoma" w:hAnsi="Tahoma" w:cs="Tahoma"/>
                <w:sz w:val="18"/>
                <w:szCs w:val="18"/>
                <w:u w:val="single"/>
              </w:rPr>
              <w:t>η συνιστώσα της πρόθεσης</w:t>
            </w:r>
            <w:r w:rsidR="003B7EE2" w:rsidRPr="00C039BA">
              <w:rPr>
                <w:rFonts w:ascii="Tahoma" w:hAnsi="Tahoma" w:cs="Tahoma"/>
                <w:sz w:val="18"/>
                <w:szCs w:val="18"/>
                <w:u w:val="single"/>
              </w:rPr>
              <w:t>.</w:t>
            </w:r>
          </w:p>
          <w:p w:rsidR="00C313B1" w:rsidRPr="00C039BA" w:rsidRDefault="00C039BA" w:rsidP="001B68C1">
            <w:pPr>
              <w:spacing w:after="120"/>
              <w:rPr>
                <w:rFonts w:ascii="Tahoma" w:hAnsi="Tahoma" w:cs="Tahoma"/>
                <w:i/>
                <w:sz w:val="18"/>
                <w:szCs w:val="18"/>
              </w:rPr>
            </w:pPr>
            <w:r w:rsidRPr="00C039BA">
              <w:rPr>
                <w:rFonts w:ascii="Tahoma" w:hAnsi="Tahoma" w:cs="Tahoma"/>
                <w:sz w:val="18"/>
                <w:szCs w:val="18"/>
              </w:rPr>
              <w:t>Σημειώνεται ότι, η απάτη είναι νομικός χαρακτηρισμός μιας πράξης βάσει του ποινικού δικαίου, ο οποίος καθορίζεται με τελεσίδικη απόφαση αρμόδιου δικαστηρίου.</w:t>
            </w:r>
            <w:r w:rsidRPr="00C039BA">
              <w:rPr>
                <w:rStyle w:val="a8"/>
                <w:rFonts w:ascii="Tahoma" w:hAnsi="Tahoma" w:cs="Tahoma"/>
                <w:sz w:val="18"/>
                <w:szCs w:val="18"/>
              </w:rPr>
              <w:footnoteReference w:id="2"/>
            </w:r>
            <w:r w:rsidRPr="00C039B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313B1" w:rsidRPr="00C039BA">
              <w:rPr>
                <w:rFonts w:ascii="Tahoma" w:hAnsi="Tahoma" w:cs="Tahoma"/>
                <w:sz w:val="18"/>
                <w:szCs w:val="18"/>
              </w:rPr>
              <w:t>Άρα, οι Δομές που έχουν οριστεί στο πλαίσιο του ΣΔΕ δεν μπορούν να χαρακτηρίσουν μία πράξη με τα παραπάνω στοιχεία ως «απάτη». Ωστόσο, μπορούν να ανιχνεύσουν πραγματικά περιστατικά ή λίαν ύποπτες περιστάσεις που υποδηλώνουν την ύπαρξη παρατυπιών και, κατ’ επέκταση, πιθανής απάτης.</w:t>
            </w:r>
          </w:p>
        </w:tc>
      </w:tr>
    </w:tbl>
    <w:p w:rsidR="00E55BBD" w:rsidRDefault="00E55BBD" w:rsidP="00C313B1"/>
    <w:p w:rsidR="00E55BBD" w:rsidRDefault="00E55BBD" w:rsidP="00E55BBD">
      <w:r>
        <w:br w:type="page"/>
      </w:r>
    </w:p>
    <w:p w:rsidR="001B68C1" w:rsidRDefault="001B68C1" w:rsidP="00C313B1"/>
    <w:tbl>
      <w:tblPr>
        <w:tblW w:w="0" w:type="auto"/>
        <w:tblInd w:w="-34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5"/>
        <w:gridCol w:w="6995"/>
      </w:tblGrid>
      <w:tr w:rsidR="00C313B1" w:rsidRPr="00170101" w:rsidTr="00773C13">
        <w:tc>
          <w:tcPr>
            <w:tcW w:w="2645" w:type="dxa"/>
            <w:tcBorders>
              <w:bottom w:val="nil"/>
              <w:right w:val="nil"/>
            </w:tcBorders>
            <w:shd w:val="clear" w:color="auto" w:fill="auto"/>
          </w:tcPr>
          <w:p w:rsidR="00C313B1" w:rsidRPr="00A237D8" w:rsidRDefault="001B68C1" w:rsidP="0053711A">
            <w:pPr>
              <w:spacing w:after="120" w:line="280" w:lineRule="exact"/>
              <w:jc w:val="lef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br w:type="page"/>
            </w:r>
            <w:r w:rsidR="00C313B1" w:rsidRPr="00A237D8">
              <w:rPr>
                <w:rFonts w:ascii="Tahoma" w:hAnsi="Tahoma" w:cs="Tahoma"/>
                <w:sz w:val="20"/>
                <w:szCs w:val="20"/>
              </w:rPr>
              <w:t>«Υπόνοια απάτης-</w:t>
            </w:r>
            <w:r w:rsidR="00C313B1" w:rsidRPr="00A237D8">
              <w:rPr>
                <w:rFonts w:ascii="Tahoma" w:hAnsi="Tahoma" w:cs="Tahoma"/>
                <w:sz w:val="20"/>
                <w:szCs w:val="20"/>
                <w:lang w:val="en-US"/>
              </w:rPr>
              <w:t>suspected fraud</w:t>
            </w:r>
            <w:r w:rsidR="00C313B1" w:rsidRPr="00A237D8">
              <w:rPr>
                <w:rFonts w:ascii="Tahoma" w:hAnsi="Tahoma" w:cs="Tahoma"/>
                <w:sz w:val="20"/>
                <w:szCs w:val="20"/>
              </w:rPr>
              <w:t>»:</w:t>
            </w:r>
          </w:p>
        </w:tc>
        <w:tc>
          <w:tcPr>
            <w:tcW w:w="6995" w:type="dxa"/>
            <w:tcBorders>
              <w:left w:val="nil"/>
              <w:bottom w:val="nil"/>
            </w:tcBorders>
            <w:shd w:val="clear" w:color="auto" w:fill="auto"/>
          </w:tcPr>
          <w:p w:rsidR="00C313B1" w:rsidRPr="00822769" w:rsidRDefault="00C313B1" w:rsidP="00E55BBD">
            <w:pPr>
              <w:spacing w:after="120" w:line="240" w:lineRule="exact"/>
              <w:rPr>
                <w:rFonts w:ascii="Tahoma" w:hAnsi="Tahoma" w:cs="Tahoma"/>
                <w:i/>
                <w:sz w:val="20"/>
                <w:szCs w:val="20"/>
              </w:rPr>
            </w:pPr>
            <w:r w:rsidRPr="00A237D8">
              <w:rPr>
                <w:rFonts w:ascii="Tahoma" w:hAnsi="Tahoma" w:cs="Tahoma"/>
                <w:sz w:val="20"/>
                <w:szCs w:val="20"/>
              </w:rPr>
              <w:t xml:space="preserve">Κάθε </w:t>
            </w:r>
            <w:r w:rsidRPr="00773C13">
              <w:rPr>
                <w:rFonts w:ascii="Tahoma" w:hAnsi="Tahoma" w:cs="Tahoma"/>
                <w:sz w:val="20"/>
                <w:szCs w:val="20"/>
                <w:u w:val="single"/>
              </w:rPr>
              <w:t>παρατυπία</w:t>
            </w:r>
            <w:r w:rsidRPr="00A237D8">
              <w:rPr>
                <w:rFonts w:ascii="Tahoma" w:hAnsi="Tahoma" w:cs="Tahoma"/>
                <w:sz w:val="20"/>
                <w:szCs w:val="20"/>
              </w:rPr>
              <w:t xml:space="preserve"> που οδηγεί στην κίνηση διοικητικής ή δικαστικής διαδικασίας σε </w:t>
            </w:r>
            <w:r w:rsidRPr="00773C13">
              <w:rPr>
                <w:rFonts w:ascii="Tahoma" w:hAnsi="Tahoma" w:cs="Tahoma"/>
                <w:sz w:val="20"/>
                <w:szCs w:val="20"/>
                <w:u w:val="single"/>
              </w:rPr>
              <w:t>εθνικό</w:t>
            </w:r>
            <w:r w:rsidRPr="00A237D8">
              <w:rPr>
                <w:rFonts w:ascii="Tahoma" w:hAnsi="Tahoma" w:cs="Tahoma"/>
                <w:sz w:val="20"/>
                <w:szCs w:val="20"/>
              </w:rPr>
              <w:t xml:space="preserve"> επίπεδο, ώστε να καθοριστεί </w:t>
            </w:r>
            <w:r w:rsidRPr="007518A3">
              <w:rPr>
                <w:rFonts w:ascii="Tahoma" w:hAnsi="Tahoma" w:cs="Tahoma"/>
                <w:sz w:val="20"/>
                <w:szCs w:val="20"/>
              </w:rPr>
              <w:t xml:space="preserve">η ύπαρξη </w:t>
            </w:r>
            <w:bookmarkStart w:id="2" w:name="OLE_LINK1"/>
            <w:bookmarkStart w:id="3" w:name="OLE_LINK2"/>
            <w:r w:rsidRPr="007518A3">
              <w:rPr>
                <w:rFonts w:ascii="Tahoma" w:hAnsi="Tahoma" w:cs="Tahoma"/>
                <w:sz w:val="20"/>
                <w:szCs w:val="20"/>
              </w:rPr>
              <w:t xml:space="preserve">συμπεριφοράς </w:t>
            </w:r>
            <w:r w:rsidR="003B7EE2" w:rsidRPr="007518A3">
              <w:rPr>
                <w:rFonts w:ascii="Tahoma" w:hAnsi="Tahoma" w:cs="Tahoma"/>
                <w:sz w:val="20"/>
                <w:szCs w:val="20"/>
              </w:rPr>
              <w:t>εκ προθέσεως (δόλου)</w:t>
            </w:r>
            <w:bookmarkEnd w:id="2"/>
            <w:bookmarkEnd w:id="3"/>
            <w:r w:rsidR="007518A3" w:rsidRPr="007518A3"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  <w:t xml:space="preserve"> </w:t>
            </w:r>
            <w:r w:rsidRPr="00A237D8">
              <w:rPr>
                <w:rFonts w:ascii="Tahoma" w:hAnsi="Tahoma" w:cs="Tahoma"/>
                <w:sz w:val="20"/>
                <w:szCs w:val="20"/>
              </w:rPr>
              <w:t>και ιδίως απάτης, όπως ορίζεται στο άρθρο 1 παράγραφος 1 στοιχείο α) της σύμβασης σχετικά με την προστασία των οικονομικών συμφερόντων των Ευρωπαϊκών Κοινοτήτων, η οποία θεσπίστηκε δυνάμει του άρθρου Κ.3 της συνθήκης για την Ευρωπαϊκή Ένωση</w:t>
            </w:r>
            <w:r w:rsidRPr="00A237D8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r w:rsidR="004F761E" w:rsidRPr="00332668">
              <w:rPr>
                <w:rFonts w:ascii="Tahoma" w:hAnsi="Tahoma" w:cs="Tahoma"/>
                <w:i/>
                <w:sz w:val="16"/>
                <w:szCs w:val="16"/>
              </w:rPr>
              <w:t xml:space="preserve">[Πηγή: </w:t>
            </w:r>
            <w:r w:rsidR="004F761E">
              <w:rPr>
                <w:rFonts w:ascii="Tahoma" w:hAnsi="Tahoma" w:cs="Tahoma"/>
                <w:i/>
                <w:sz w:val="16"/>
                <w:szCs w:val="16"/>
              </w:rPr>
              <w:t xml:space="preserve">Κατ’ εξουσιοδότηση </w:t>
            </w:r>
            <w:r w:rsidR="007151BF">
              <w:rPr>
                <w:rFonts w:ascii="Tahoma" w:hAnsi="Tahoma" w:cs="Tahoma"/>
                <w:i/>
                <w:sz w:val="16"/>
                <w:szCs w:val="16"/>
              </w:rPr>
              <w:t>Κ</w:t>
            </w:r>
            <w:r w:rsidR="004F761E" w:rsidRPr="00332668">
              <w:rPr>
                <w:rFonts w:ascii="Tahoma" w:hAnsi="Tahoma" w:cs="Tahoma"/>
                <w:i/>
                <w:sz w:val="16"/>
                <w:szCs w:val="16"/>
              </w:rPr>
              <w:t>ανονισμός (Ε</w:t>
            </w:r>
            <w:r w:rsidR="004F761E">
              <w:rPr>
                <w:rFonts w:ascii="Tahoma" w:hAnsi="Tahoma" w:cs="Tahoma"/>
                <w:i/>
                <w:sz w:val="16"/>
                <w:szCs w:val="16"/>
                <w:lang w:val="en-US"/>
              </w:rPr>
              <w:t>E</w:t>
            </w:r>
            <w:r w:rsidR="004F761E" w:rsidRPr="00332668">
              <w:rPr>
                <w:rFonts w:ascii="Tahoma" w:hAnsi="Tahoma" w:cs="Tahoma"/>
                <w:i/>
                <w:sz w:val="16"/>
                <w:szCs w:val="16"/>
              </w:rPr>
              <w:t xml:space="preserve">) </w:t>
            </w:r>
            <w:r w:rsidR="004F761E">
              <w:rPr>
                <w:rFonts w:ascii="Tahoma" w:hAnsi="Tahoma" w:cs="Tahoma"/>
                <w:i/>
                <w:sz w:val="16"/>
                <w:szCs w:val="16"/>
              </w:rPr>
              <w:t xml:space="preserve">για την υποβολή έκθεσης παρατυπιών </w:t>
            </w:r>
            <w:r w:rsidR="003273B5">
              <w:rPr>
                <w:rFonts w:ascii="Tahoma" w:hAnsi="Tahoma" w:cs="Tahoma"/>
                <w:i/>
                <w:sz w:val="16"/>
                <w:szCs w:val="16"/>
              </w:rPr>
              <w:t>2015/</w:t>
            </w:r>
            <w:r w:rsidR="004F761E" w:rsidRPr="004F761E">
              <w:rPr>
                <w:rFonts w:ascii="Tahoma" w:hAnsi="Tahoma" w:cs="Tahoma"/>
                <w:i/>
                <w:sz w:val="16"/>
                <w:szCs w:val="16"/>
              </w:rPr>
              <w:t>1970</w:t>
            </w:r>
            <w:r w:rsidR="003273B5">
              <w:rPr>
                <w:rFonts w:ascii="Tahoma" w:hAnsi="Tahoma" w:cs="Tahoma"/>
                <w:i/>
                <w:sz w:val="16"/>
                <w:szCs w:val="16"/>
              </w:rPr>
              <w:t xml:space="preserve"> (</w:t>
            </w:r>
            <w:r w:rsidR="004F761E" w:rsidRPr="004F761E">
              <w:rPr>
                <w:rFonts w:ascii="Tahoma" w:hAnsi="Tahoma" w:cs="Tahoma"/>
                <w:i/>
                <w:sz w:val="16"/>
                <w:szCs w:val="16"/>
              </w:rPr>
              <w:t>08-07-2015</w:t>
            </w:r>
            <w:r w:rsidR="00822769" w:rsidRPr="00822769">
              <w:rPr>
                <w:rFonts w:ascii="Tahoma" w:hAnsi="Tahoma" w:cs="Tahoma"/>
                <w:i/>
                <w:sz w:val="16"/>
                <w:szCs w:val="16"/>
              </w:rPr>
              <w:t>)</w:t>
            </w:r>
            <w:r w:rsidR="003273B5">
              <w:rPr>
                <w:rFonts w:ascii="Tahoma" w:hAnsi="Tahoma" w:cs="Tahoma"/>
                <w:i/>
                <w:sz w:val="16"/>
                <w:szCs w:val="16"/>
              </w:rPr>
              <w:t>, άρθρο 2]</w:t>
            </w:r>
          </w:p>
        </w:tc>
      </w:tr>
      <w:tr w:rsidR="00C313B1" w:rsidRPr="00170101" w:rsidTr="00773C13">
        <w:tc>
          <w:tcPr>
            <w:tcW w:w="9640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:rsidR="001B68C1" w:rsidRDefault="00C313B1" w:rsidP="001B68C1">
            <w:pPr>
              <w:tabs>
                <w:tab w:val="num" w:pos="720"/>
              </w:tabs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A237D8">
              <w:rPr>
                <w:rFonts w:ascii="Tahoma" w:hAnsi="Tahoma" w:cs="Tahoma"/>
                <w:i/>
                <w:sz w:val="18"/>
                <w:szCs w:val="18"/>
              </w:rPr>
              <w:t xml:space="preserve">Διευκρινήσεις: </w:t>
            </w:r>
            <w:r w:rsidR="00A14F54">
              <w:rPr>
                <w:rFonts w:ascii="Tahoma" w:hAnsi="Tahoma" w:cs="Tahoma"/>
                <w:sz w:val="18"/>
                <w:szCs w:val="18"/>
              </w:rPr>
              <w:t>Στο πλαίσιο του ΣΔΕ</w:t>
            </w:r>
            <w:r w:rsidR="00A14F54" w:rsidRPr="00773C13">
              <w:rPr>
                <w:rFonts w:ascii="Tahoma" w:hAnsi="Tahoma" w:cs="Tahoma"/>
                <w:sz w:val="18"/>
                <w:szCs w:val="18"/>
              </w:rPr>
              <w:t>, κ</w:t>
            </w:r>
            <w:r w:rsidRPr="00773C13">
              <w:rPr>
                <w:rFonts w:ascii="Tahoma" w:hAnsi="Tahoma" w:cs="Tahoma"/>
                <w:sz w:val="18"/>
                <w:szCs w:val="18"/>
              </w:rPr>
              <w:t>άθε</w:t>
            </w:r>
            <w:r w:rsidRPr="00A237D8">
              <w:rPr>
                <w:rFonts w:ascii="Tahoma" w:hAnsi="Tahoma" w:cs="Tahoma"/>
                <w:sz w:val="18"/>
                <w:szCs w:val="18"/>
              </w:rPr>
              <w:t xml:space="preserve"> περίπτωση που κρίνεται ότι συνιστά «υπόνοια απάτης», πρέπει να προωθηθεί στη Γενική Γραμματεία για την Καταπολέμηση της Διαφθοράς, η οποία αποτελεί την Υπηρεσία που έχει αναλάβει τον εθνικό συντονισμό για θέματα απάτης στην Ελλάδα (AFCOS</w:t>
            </w:r>
            <w:r w:rsidRPr="007518A3">
              <w:rPr>
                <w:rFonts w:ascii="Tahoma" w:hAnsi="Tahoma" w:cs="Tahoma"/>
                <w:sz w:val="18"/>
                <w:szCs w:val="18"/>
              </w:rPr>
              <w:t>), σύμφωνα με τον Ν. 4320/2015</w:t>
            </w:r>
            <w:r w:rsidR="00A14F54">
              <w:rPr>
                <w:rFonts w:ascii="Tahoma" w:hAnsi="Tahoma" w:cs="Tahoma"/>
                <w:sz w:val="18"/>
                <w:szCs w:val="18"/>
              </w:rPr>
              <w:t xml:space="preserve"> όπως συμπληρώθηκε και τροποποιήθηκε με το </w:t>
            </w:r>
            <w:r w:rsidR="00A14F54" w:rsidRPr="00A14F54">
              <w:rPr>
                <w:rFonts w:ascii="Tahoma" w:hAnsi="Tahoma" w:cs="Tahoma"/>
                <w:sz w:val="18"/>
                <w:szCs w:val="18"/>
              </w:rPr>
              <w:t>Ν.</w:t>
            </w:r>
            <w:r w:rsidR="00A14F5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A14F54" w:rsidRPr="00A14F54">
              <w:rPr>
                <w:rFonts w:ascii="Tahoma" w:hAnsi="Tahoma" w:cs="Tahoma"/>
                <w:sz w:val="18"/>
                <w:szCs w:val="18"/>
              </w:rPr>
              <w:t>4446/2016 (άρθρα 53-56)</w:t>
            </w:r>
            <w:r w:rsidRPr="007518A3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="00A14F54">
              <w:rPr>
                <w:rFonts w:ascii="Tahoma" w:hAnsi="Tahoma" w:cs="Tahoma"/>
                <w:sz w:val="18"/>
                <w:szCs w:val="18"/>
              </w:rPr>
              <w:t>Η</w:t>
            </w:r>
            <w:r w:rsidR="00A14F54" w:rsidRPr="00A237D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237D8">
              <w:rPr>
                <w:rFonts w:ascii="Tahoma" w:hAnsi="Tahoma" w:cs="Tahoma"/>
                <w:sz w:val="18"/>
                <w:szCs w:val="18"/>
                <w:lang w:val="en-US"/>
              </w:rPr>
              <w:t>AFCOS</w:t>
            </w:r>
            <w:r w:rsidRPr="00A237D8">
              <w:rPr>
                <w:rFonts w:ascii="Tahoma" w:hAnsi="Tahoma" w:cs="Tahoma"/>
                <w:sz w:val="18"/>
                <w:szCs w:val="18"/>
              </w:rPr>
              <w:t xml:space="preserve"> προωθεί την υπόθεση στις αρμόδιες </w:t>
            </w:r>
            <w:r w:rsidR="00A14F54">
              <w:rPr>
                <w:rFonts w:ascii="Tahoma" w:hAnsi="Tahoma" w:cs="Tahoma"/>
                <w:sz w:val="18"/>
                <w:szCs w:val="18"/>
              </w:rPr>
              <w:t xml:space="preserve">εθνικές </w:t>
            </w:r>
            <w:r w:rsidRPr="00A237D8">
              <w:rPr>
                <w:rFonts w:ascii="Tahoma" w:hAnsi="Tahoma" w:cs="Tahoma"/>
                <w:sz w:val="18"/>
                <w:szCs w:val="18"/>
              </w:rPr>
              <w:t xml:space="preserve">ελεγκτικές ή δικαστικές αρχές, ανάλογα με την περίπτωση, ώστε να ερευνηθεί και να καθοριστεί η ύπαρξη </w:t>
            </w:r>
            <w:r w:rsidR="008B182A" w:rsidRPr="00A237D8">
              <w:rPr>
                <w:rFonts w:ascii="Tahoma" w:hAnsi="Tahoma" w:cs="Tahoma"/>
                <w:sz w:val="18"/>
                <w:szCs w:val="18"/>
              </w:rPr>
              <w:t xml:space="preserve">συμπεριφοράς εκ </w:t>
            </w:r>
            <w:r w:rsidRPr="00A237D8">
              <w:rPr>
                <w:rFonts w:ascii="Tahoma" w:hAnsi="Tahoma" w:cs="Tahoma"/>
                <w:sz w:val="18"/>
                <w:szCs w:val="18"/>
              </w:rPr>
              <w:t>πρ</w:t>
            </w:r>
            <w:r w:rsidR="008B182A" w:rsidRPr="00A237D8">
              <w:rPr>
                <w:rFonts w:ascii="Tahoma" w:hAnsi="Tahoma" w:cs="Tahoma"/>
                <w:sz w:val="18"/>
                <w:szCs w:val="18"/>
              </w:rPr>
              <w:t>οθέσεως</w:t>
            </w:r>
            <w:r w:rsidRPr="00A237D8">
              <w:rPr>
                <w:rFonts w:ascii="Tahoma" w:hAnsi="Tahoma" w:cs="Tahoma"/>
                <w:sz w:val="18"/>
                <w:szCs w:val="18"/>
              </w:rPr>
              <w:t xml:space="preserve">, και ιδίως απάτης. </w:t>
            </w:r>
          </w:p>
          <w:p w:rsidR="00A14F54" w:rsidRDefault="00A14F54" w:rsidP="001B68C1">
            <w:pPr>
              <w:tabs>
                <w:tab w:val="num" w:pos="720"/>
              </w:tabs>
              <w:spacing w:before="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Η «υπόνοια απάτης»:</w:t>
            </w:r>
          </w:p>
          <w:p w:rsidR="00A14F54" w:rsidRDefault="00A14F54" w:rsidP="001B68C1">
            <w:pPr>
              <w:pStyle w:val="a5"/>
              <w:numPr>
                <w:ilvl w:val="0"/>
                <w:numId w:val="7"/>
              </w:numPr>
              <w:spacing w:before="60"/>
              <w:ind w:left="714" w:hanging="357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Δ</w:t>
            </w:r>
            <w:r w:rsidRPr="00A14F54">
              <w:rPr>
                <w:rFonts w:ascii="Tahoma" w:hAnsi="Tahoma" w:cs="Tahoma"/>
                <w:sz w:val="18"/>
                <w:szCs w:val="18"/>
              </w:rPr>
              <w:t xml:space="preserve">εν κοινοποιείται στον ελεγχόμενο. </w:t>
            </w:r>
          </w:p>
          <w:p w:rsidR="00A14F54" w:rsidRPr="00A14F54" w:rsidRDefault="00A14F54" w:rsidP="00773C13">
            <w:pPr>
              <w:pStyle w:val="a5"/>
              <w:numPr>
                <w:ilvl w:val="0"/>
                <w:numId w:val="7"/>
              </w:numPr>
              <w:spacing w:before="60" w:after="60"/>
              <w:ind w:left="714" w:hanging="357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Ανακοινώνεται </w:t>
            </w:r>
            <w:r w:rsidR="00C313B1" w:rsidRPr="00A14F54">
              <w:rPr>
                <w:rFonts w:ascii="Tahoma" w:hAnsi="Tahoma" w:cs="Tahoma"/>
                <w:sz w:val="18"/>
                <w:szCs w:val="18"/>
              </w:rPr>
              <w:t xml:space="preserve">στην </w:t>
            </w:r>
            <w:r w:rsidR="00C313B1" w:rsidRPr="00A14F54">
              <w:rPr>
                <w:rFonts w:ascii="Tahoma" w:hAnsi="Tahoma" w:cs="Tahoma"/>
                <w:sz w:val="18"/>
                <w:szCs w:val="18"/>
                <w:lang w:val="en-US"/>
              </w:rPr>
              <w:t>EE</w:t>
            </w:r>
            <w:r w:rsidR="00F90DD5" w:rsidRPr="00A14F54">
              <w:rPr>
                <w:rFonts w:ascii="Tahoma" w:hAnsi="Tahoma" w:cs="Tahoma"/>
                <w:sz w:val="18"/>
                <w:szCs w:val="18"/>
              </w:rPr>
              <w:t xml:space="preserve"> κατά τα προβλεπόμενα στη Διαδικασία ΔΙΙΙ_3</w:t>
            </w:r>
            <w:r w:rsidR="00C313B1" w:rsidRPr="00A14F54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C313B1" w:rsidRPr="00170101" w:rsidTr="00773C13">
        <w:tc>
          <w:tcPr>
            <w:tcW w:w="964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313B1" w:rsidRPr="00332668" w:rsidRDefault="00C313B1" w:rsidP="0053711A">
            <w:pPr>
              <w:spacing w:after="120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</w:p>
        </w:tc>
      </w:tr>
      <w:tr w:rsidR="00C313B1" w:rsidRPr="00170101" w:rsidTr="00773C13">
        <w:trPr>
          <w:trHeight w:val="650"/>
        </w:trPr>
        <w:tc>
          <w:tcPr>
            <w:tcW w:w="2645" w:type="dxa"/>
            <w:tcBorders>
              <w:top w:val="dotted" w:sz="4" w:space="0" w:color="auto"/>
              <w:bottom w:val="nil"/>
              <w:right w:val="nil"/>
            </w:tcBorders>
            <w:shd w:val="clear" w:color="auto" w:fill="auto"/>
          </w:tcPr>
          <w:p w:rsidR="00C313B1" w:rsidRPr="00332668" w:rsidRDefault="00C313B1" w:rsidP="0053711A">
            <w:pPr>
              <w:spacing w:after="120" w:line="280" w:lineRule="exac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2668">
              <w:rPr>
                <w:rFonts w:ascii="Tahoma" w:hAnsi="Tahoma" w:cs="Tahoma"/>
                <w:sz w:val="20"/>
                <w:szCs w:val="20"/>
              </w:rPr>
              <w:t>«Ένδειξη απάτης»:</w:t>
            </w:r>
          </w:p>
        </w:tc>
        <w:tc>
          <w:tcPr>
            <w:tcW w:w="6995" w:type="dxa"/>
            <w:tcBorders>
              <w:top w:val="dotted" w:sz="4" w:space="0" w:color="auto"/>
              <w:left w:val="nil"/>
              <w:bottom w:val="nil"/>
            </w:tcBorders>
            <w:shd w:val="clear" w:color="auto" w:fill="auto"/>
          </w:tcPr>
          <w:p w:rsidR="00C313B1" w:rsidRPr="00332668" w:rsidRDefault="00773C13" w:rsidP="004F761E">
            <w:pPr>
              <w:spacing w:after="120" w:line="280" w:lineRule="exact"/>
              <w:rPr>
                <w:rFonts w:ascii="Tahoma" w:hAnsi="Tahoma" w:cs="Tahoma"/>
                <w:sz w:val="20"/>
                <w:szCs w:val="20"/>
              </w:rPr>
            </w:pPr>
            <w:r w:rsidRPr="00773C13">
              <w:rPr>
                <w:rFonts w:ascii="Tahoma" w:hAnsi="Tahoma" w:cs="Tahoma"/>
                <w:sz w:val="20"/>
                <w:szCs w:val="20"/>
              </w:rPr>
              <w:t xml:space="preserve">Η </w:t>
            </w:r>
            <w:r w:rsidR="00C313B1" w:rsidRPr="00773C13">
              <w:rPr>
                <w:rFonts w:ascii="Tahoma" w:hAnsi="Tahoma" w:cs="Tahoma"/>
                <w:sz w:val="20"/>
                <w:szCs w:val="20"/>
                <w:u w:val="single"/>
              </w:rPr>
              <w:t>Υποψία</w:t>
            </w:r>
            <w:r w:rsidR="00C313B1" w:rsidRPr="00332668">
              <w:rPr>
                <w:rFonts w:ascii="Tahoma" w:hAnsi="Tahoma" w:cs="Tahoma"/>
                <w:sz w:val="20"/>
                <w:szCs w:val="20"/>
              </w:rPr>
              <w:t xml:space="preserve"> ότι μία παρατυπία ενέχει </w:t>
            </w:r>
            <w:r w:rsidR="004F761E">
              <w:rPr>
                <w:rFonts w:ascii="Tahoma" w:hAnsi="Tahoma" w:cs="Tahoma"/>
                <w:sz w:val="20"/>
                <w:szCs w:val="20"/>
              </w:rPr>
              <w:t>πρόθεση</w:t>
            </w:r>
          </w:p>
        </w:tc>
      </w:tr>
      <w:tr w:rsidR="00C313B1" w:rsidRPr="00170101" w:rsidTr="00773C13">
        <w:tc>
          <w:tcPr>
            <w:tcW w:w="9640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:rsidR="001B68C1" w:rsidRDefault="00C313B1" w:rsidP="00773C13">
            <w:pPr>
              <w:tabs>
                <w:tab w:val="num" w:pos="720"/>
              </w:tabs>
              <w:spacing w:after="60"/>
              <w:rPr>
                <w:rFonts w:ascii="Tahoma" w:hAnsi="Tahoma" w:cs="Tahoma"/>
                <w:sz w:val="18"/>
                <w:szCs w:val="18"/>
              </w:rPr>
            </w:pPr>
            <w:r w:rsidRPr="00332668">
              <w:rPr>
                <w:rFonts w:ascii="Tahoma" w:hAnsi="Tahoma" w:cs="Tahoma"/>
                <w:i/>
                <w:sz w:val="18"/>
                <w:szCs w:val="18"/>
              </w:rPr>
              <w:t xml:space="preserve">Διευκρινήσεις: </w:t>
            </w:r>
            <w:r w:rsidRPr="00332668">
              <w:rPr>
                <w:rFonts w:ascii="Tahoma" w:hAnsi="Tahoma" w:cs="Tahoma"/>
                <w:sz w:val="18"/>
                <w:szCs w:val="18"/>
              </w:rPr>
              <w:t xml:space="preserve">Ο </w:t>
            </w:r>
            <w:r w:rsidRPr="001B68C1">
              <w:rPr>
                <w:rFonts w:ascii="Tahoma" w:hAnsi="Tahoma" w:cs="Tahoma"/>
                <w:sz w:val="18"/>
                <w:szCs w:val="18"/>
              </w:rPr>
              <w:t xml:space="preserve">όρος αυτός εισάγεται στο παρόν ΣΔΕ, προκειμένου να διαχωριστεί από τον όρο «υπόνοια απάτης». Η «ένδειξη απάτης» χαρακτηρίζει την υποψία ότι μία παρατυπία ενέχει </w:t>
            </w:r>
            <w:r w:rsidR="004F761E" w:rsidRPr="001B68C1">
              <w:rPr>
                <w:rFonts w:ascii="Tahoma" w:hAnsi="Tahoma" w:cs="Tahoma"/>
                <w:sz w:val="18"/>
                <w:szCs w:val="18"/>
              </w:rPr>
              <w:t>πρόθεση</w:t>
            </w:r>
            <w:r w:rsidRPr="001B68C1">
              <w:rPr>
                <w:rFonts w:ascii="Tahoma" w:hAnsi="Tahoma" w:cs="Tahoma"/>
                <w:sz w:val="18"/>
                <w:szCs w:val="18"/>
              </w:rPr>
              <w:t xml:space="preserve">. </w:t>
            </w:r>
          </w:p>
          <w:p w:rsidR="001B68C1" w:rsidRPr="001B68C1" w:rsidRDefault="001B68C1" w:rsidP="00773C13">
            <w:pPr>
              <w:tabs>
                <w:tab w:val="num" w:pos="720"/>
              </w:tabs>
              <w:spacing w:after="60"/>
              <w:rPr>
                <w:rFonts w:ascii="Times New Roman" w:hAnsi="Times New Roman"/>
                <w:color w:val="FF0000"/>
              </w:rPr>
            </w:pPr>
            <w:r w:rsidRPr="001B68C1">
              <w:rPr>
                <w:rFonts w:ascii="Tahoma" w:hAnsi="Tahoma" w:cs="Tahoma"/>
                <w:sz w:val="18"/>
                <w:szCs w:val="18"/>
              </w:rPr>
              <w:t>Στο πλαίσιο του ΣΔΕ, όταν αυτή η υποψία, μετά από εξέταση, κριθεί βάσιμη, τότε συνιστά «υπόνοια απάτης».</w:t>
            </w:r>
          </w:p>
          <w:p w:rsidR="00C313B1" w:rsidRDefault="00773C13" w:rsidP="001B68C1">
            <w:pPr>
              <w:tabs>
                <w:tab w:val="num" w:pos="720"/>
              </w:tabs>
              <w:spacing w:after="1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Ό</w:t>
            </w:r>
            <w:r w:rsidRPr="00332668">
              <w:rPr>
                <w:rFonts w:ascii="Tahoma" w:hAnsi="Tahoma" w:cs="Tahoma"/>
                <w:sz w:val="18"/>
                <w:szCs w:val="18"/>
              </w:rPr>
              <w:t>ταν</w:t>
            </w:r>
            <w:r w:rsidR="00C313B1" w:rsidRPr="00332668">
              <w:rPr>
                <w:rFonts w:ascii="Tahoma" w:hAnsi="Tahoma" w:cs="Tahoma"/>
                <w:sz w:val="18"/>
                <w:szCs w:val="18"/>
              </w:rPr>
              <w:t xml:space="preserve">, για παράδειγμα, μία </w:t>
            </w:r>
            <w:r>
              <w:rPr>
                <w:rFonts w:ascii="Tahoma" w:hAnsi="Tahoma" w:cs="Tahoma"/>
                <w:sz w:val="18"/>
                <w:szCs w:val="18"/>
              </w:rPr>
              <w:t>ΔΑ, ο ΕΦ ή η ΑΠ</w:t>
            </w:r>
            <w:r w:rsidR="00C313B1" w:rsidRPr="00332668">
              <w:rPr>
                <w:rFonts w:ascii="Tahoma" w:hAnsi="Tahoma" w:cs="Tahoma"/>
                <w:sz w:val="18"/>
                <w:szCs w:val="18"/>
              </w:rPr>
              <w:t xml:space="preserve"> εντοπίσει μια παρατυπία που κατά την κρίση της αποτελεί ενδεχόμενη απάτη, πρέπει να προβεί η ίδια σε μια </w:t>
            </w:r>
            <w:r w:rsidRPr="00773C13">
              <w:rPr>
                <w:rFonts w:ascii="Tahoma" w:hAnsi="Tahoma" w:cs="Tahoma"/>
                <w:sz w:val="18"/>
                <w:szCs w:val="18"/>
                <w:u w:val="single"/>
              </w:rPr>
              <w:t>εσωτερική</w:t>
            </w:r>
            <w:r w:rsidRPr="00773C1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313B1" w:rsidRPr="00332668">
              <w:rPr>
                <w:rFonts w:ascii="Tahoma" w:hAnsi="Tahoma" w:cs="Tahoma"/>
                <w:sz w:val="18"/>
                <w:szCs w:val="18"/>
              </w:rPr>
              <w:t xml:space="preserve">εξέταση/ διερεύνηση του θέματος και εφόσον κρίνει ότι η </w:t>
            </w:r>
            <w:r w:rsidR="00C313B1" w:rsidRPr="007151BF">
              <w:rPr>
                <w:rFonts w:ascii="Tahoma" w:hAnsi="Tahoma" w:cs="Tahoma"/>
                <w:sz w:val="18"/>
                <w:szCs w:val="18"/>
                <w:u w:val="single"/>
              </w:rPr>
              <w:t>ένδειξη απάτης είναι ισχυρή</w:t>
            </w:r>
            <w:r w:rsidR="00C313B1" w:rsidRPr="00A237D8">
              <w:rPr>
                <w:rFonts w:ascii="Tahoma" w:hAnsi="Tahoma" w:cs="Tahoma"/>
                <w:sz w:val="18"/>
                <w:szCs w:val="18"/>
              </w:rPr>
              <w:t>, θα πρέπει να ξεκινήσει μια διοικητική διαδικασία σε εθνικό επίπεδο. Όταν δοθεί το</w:t>
            </w:r>
            <w:r w:rsidR="00C313B1" w:rsidRPr="005D22EE">
              <w:rPr>
                <w:rFonts w:ascii="Tahoma" w:hAnsi="Tahoma" w:cs="Tahoma"/>
                <w:b/>
                <w:sz w:val="18"/>
                <w:szCs w:val="18"/>
              </w:rPr>
              <w:t xml:space="preserve"> έναυσμα</w:t>
            </w:r>
            <w:r w:rsidR="00C313B1" w:rsidRPr="00A237D8">
              <w:rPr>
                <w:rFonts w:ascii="Tahoma" w:hAnsi="Tahoma" w:cs="Tahoma"/>
                <w:sz w:val="18"/>
                <w:szCs w:val="18"/>
              </w:rPr>
              <w:t xml:space="preserve"> για να ξεκινήσει</w:t>
            </w:r>
            <w:r w:rsidR="00C313B1" w:rsidRPr="00332668">
              <w:rPr>
                <w:rFonts w:ascii="Tahoma" w:hAnsi="Tahoma" w:cs="Tahoma"/>
                <w:sz w:val="18"/>
                <w:szCs w:val="18"/>
              </w:rPr>
              <w:t xml:space="preserve"> η διαδικασία αυτή</w:t>
            </w:r>
            <w:r w:rsidR="007151BF">
              <w:rPr>
                <w:rFonts w:ascii="Tahoma" w:hAnsi="Tahoma" w:cs="Tahoma"/>
                <w:sz w:val="18"/>
                <w:szCs w:val="18"/>
              </w:rPr>
              <w:t xml:space="preserve"> (μέσω σχετικής επιστολής προς την </w:t>
            </w:r>
            <w:r w:rsidR="007151BF">
              <w:rPr>
                <w:rFonts w:ascii="Tahoma" w:hAnsi="Tahoma" w:cs="Tahoma"/>
                <w:sz w:val="18"/>
                <w:szCs w:val="18"/>
                <w:lang w:val="en-US"/>
              </w:rPr>
              <w:t>AFCOS</w:t>
            </w:r>
            <w:r w:rsidR="007151BF" w:rsidRPr="007151BF">
              <w:rPr>
                <w:rFonts w:ascii="Tahoma" w:hAnsi="Tahoma" w:cs="Tahoma"/>
                <w:sz w:val="18"/>
                <w:szCs w:val="18"/>
              </w:rPr>
              <w:t>)</w:t>
            </w:r>
            <w:r w:rsidR="00C313B1" w:rsidRPr="00332668">
              <w:rPr>
                <w:rFonts w:ascii="Tahoma" w:hAnsi="Tahoma" w:cs="Tahoma"/>
                <w:sz w:val="18"/>
                <w:szCs w:val="18"/>
              </w:rPr>
              <w:t>, τότε η ένδειξη συνιστά «υπόνοια απάτης». Κατά το προηγούμενο στάδιο, που υπάρχει απλά μια υποψία και δεν έχει συνταχθεί μια επιστολή για να ξεκινήσει μια επίση</w:t>
            </w:r>
            <w:r>
              <w:rPr>
                <w:rFonts w:ascii="Tahoma" w:hAnsi="Tahoma" w:cs="Tahoma"/>
                <w:sz w:val="18"/>
                <w:szCs w:val="18"/>
              </w:rPr>
              <w:t xml:space="preserve">μη διαδικασία σε εθνικό επίπεδο, </w:t>
            </w:r>
            <w:r w:rsidR="00C313B1" w:rsidRPr="00332668">
              <w:rPr>
                <w:rFonts w:ascii="Tahoma" w:hAnsi="Tahoma" w:cs="Tahoma"/>
                <w:sz w:val="18"/>
                <w:szCs w:val="18"/>
              </w:rPr>
              <w:t>δε μιλάμε ακόμα για «υπόν</w:t>
            </w:r>
            <w:r>
              <w:rPr>
                <w:rFonts w:ascii="Tahoma" w:hAnsi="Tahoma" w:cs="Tahoma"/>
                <w:sz w:val="18"/>
                <w:szCs w:val="18"/>
              </w:rPr>
              <w:t>οια απάτης», αλλά για «ένδειξη».</w:t>
            </w:r>
          </w:p>
          <w:p w:rsidR="00773C13" w:rsidRDefault="00773C13" w:rsidP="00773C13">
            <w:pPr>
              <w:tabs>
                <w:tab w:val="num" w:pos="720"/>
              </w:tabs>
              <w:spacing w:before="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Η «ένδειξη απάτης»:</w:t>
            </w:r>
          </w:p>
          <w:p w:rsidR="00773C13" w:rsidRDefault="00773C13" w:rsidP="00773C13">
            <w:pPr>
              <w:pStyle w:val="a5"/>
              <w:numPr>
                <w:ilvl w:val="0"/>
                <w:numId w:val="7"/>
              </w:numPr>
              <w:spacing w:before="60"/>
              <w:ind w:left="714" w:hanging="357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Δ</w:t>
            </w:r>
            <w:r w:rsidRPr="00A14F54">
              <w:rPr>
                <w:rFonts w:ascii="Tahoma" w:hAnsi="Tahoma" w:cs="Tahoma"/>
                <w:sz w:val="18"/>
                <w:szCs w:val="18"/>
              </w:rPr>
              <w:t xml:space="preserve">εν κοινοποιείται στον ελεγχόμενο. </w:t>
            </w:r>
          </w:p>
          <w:p w:rsidR="001B68C1" w:rsidRPr="00773C13" w:rsidRDefault="00773C13" w:rsidP="00E55BBD">
            <w:pPr>
              <w:pStyle w:val="a5"/>
              <w:numPr>
                <w:ilvl w:val="0"/>
                <w:numId w:val="7"/>
              </w:numPr>
              <w:spacing w:before="60"/>
              <w:ind w:left="714" w:hanging="357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Δεν </w:t>
            </w:r>
            <w:r w:rsidR="00E55BBD">
              <w:rPr>
                <w:rFonts w:ascii="Tahoma" w:hAnsi="Tahoma" w:cs="Tahoma"/>
                <w:sz w:val="18"/>
                <w:szCs w:val="18"/>
              </w:rPr>
              <w:t>α</w:t>
            </w:r>
            <w:r>
              <w:rPr>
                <w:rFonts w:ascii="Tahoma" w:hAnsi="Tahoma" w:cs="Tahoma"/>
                <w:sz w:val="18"/>
                <w:szCs w:val="18"/>
              </w:rPr>
              <w:t xml:space="preserve">νακοινώνεται </w:t>
            </w:r>
            <w:r w:rsidRPr="00A14F54">
              <w:rPr>
                <w:rFonts w:ascii="Tahoma" w:hAnsi="Tahoma" w:cs="Tahoma"/>
                <w:sz w:val="18"/>
                <w:szCs w:val="18"/>
              </w:rPr>
              <w:t xml:space="preserve">στην </w:t>
            </w:r>
            <w:r w:rsidRPr="00A14F54">
              <w:rPr>
                <w:rFonts w:ascii="Tahoma" w:hAnsi="Tahoma" w:cs="Tahoma"/>
                <w:sz w:val="18"/>
                <w:szCs w:val="18"/>
                <w:lang w:val="en-US"/>
              </w:rPr>
              <w:t>EE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C313B1" w:rsidRPr="00170101" w:rsidTr="00773C13">
        <w:tc>
          <w:tcPr>
            <w:tcW w:w="964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313B1" w:rsidRPr="00332668" w:rsidRDefault="00C313B1" w:rsidP="0053711A">
            <w:pPr>
              <w:spacing w:after="120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</w:p>
        </w:tc>
      </w:tr>
      <w:tr w:rsidR="00C313B1" w:rsidRPr="00170101" w:rsidTr="00773C13">
        <w:trPr>
          <w:trHeight w:val="1850"/>
        </w:trPr>
        <w:tc>
          <w:tcPr>
            <w:tcW w:w="2645" w:type="dxa"/>
            <w:tcBorders>
              <w:bottom w:val="nil"/>
              <w:right w:val="nil"/>
            </w:tcBorders>
            <w:shd w:val="clear" w:color="auto" w:fill="auto"/>
          </w:tcPr>
          <w:p w:rsidR="00C313B1" w:rsidRPr="00332668" w:rsidRDefault="00C313B1" w:rsidP="0053711A">
            <w:pPr>
              <w:tabs>
                <w:tab w:val="num" w:pos="720"/>
              </w:tabs>
              <w:spacing w:after="120" w:line="2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32668">
              <w:rPr>
                <w:rFonts w:ascii="Tahoma" w:hAnsi="Tahoma" w:cs="Tahoma"/>
                <w:sz w:val="20"/>
                <w:szCs w:val="20"/>
              </w:rPr>
              <w:t>«Κόκκινη σημαία»                     (red-flag):</w:t>
            </w:r>
          </w:p>
        </w:tc>
        <w:tc>
          <w:tcPr>
            <w:tcW w:w="6995" w:type="dxa"/>
            <w:tcBorders>
              <w:left w:val="nil"/>
              <w:bottom w:val="nil"/>
            </w:tcBorders>
            <w:shd w:val="clear" w:color="auto" w:fill="auto"/>
          </w:tcPr>
          <w:p w:rsidR="00C313B1" w:rsidRPr="00332668" w:rsidRDefault="00C313B1" w:rsidP="00255746">
            <w:pPr>
              <w:spacing w:after="120"/>
              <w:rPr>
                <w:rFonts w:ascii="Tahoma" w:hAnsi="Tahoma" w:cs="Tahoma"/>
                <w:i/>
                <w:sz w:val="20"/>
                <w:szCs w:val="20"/>
              </w:rPr>
            </w:pPr>
            <w:r w:rsidRPr="00332668">
              <w:rPr>
                <w:rFonts w:ascii="Tahoma" w:hAnsi="Tahoma" w:cs="Tahoma"/>
                <w:sz w:val="20"/>
                <w:szCs w:val="20"/>
              </w:rPr>
              <w:t xml:space="preserve">Η κόκκινη σημαία (σήμα συναγερμού) είναι δείκτης/ προειδοποιητικό σήμα πιθανής απάτης ή κρούσματος διαφθοράς. Αποτελεί στοιχείο ή σύνολο στοιχείων, τα οποία δεν είναι συνήθη από τη φύση τους ή αποκλίνουν από τη συνήθη δραστηριότητα. Πρόκειται για ένδειξη παρέκκλισης από το σύνηθες και απαιτεί ενδεχομένως περαιτέρω διερεύνηση. </w:t>
            </w:r>
            <w:r w:rsidRPr="00332668">
              <w:rPr>
                <w:rFonts w:ascii="Tahoma" w:hAnsi="Tahoma" w:cs="Tahoma"/>
                <w:i/>
                <w:sz w:val="16"/>
                <w:szCs w:val="16"/>
              </w:rPr>
              <w:t>[Πηγή: Εντοπισμός πλαστών εγγράφων στον τομέα των διαρθρωτικών ενεργειών - Πρακτικός οδηγός για τις ΔΑ, OLAF 2013]</w:t>
            </w:r>
          </w:p>
        </w:tc>
      </w:tr>
      <w:tr w:rsidR="00C313B1" w:rsidRPr="00170101" w:rsidTr="00773C13">
        <w:tc>
          <w:tcPr>
            <w:tcW w:w="9640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:rsidR="00C313B1" w:rsidRPr="00332668" w:rsidRDefault="00C313B1" w:rsidP="0053711A">
            <w:pPr>
              <w:tabs>
                <w:tab w:val="num" w:pos="720"/>
              </w:tabs>
              <w:spacing w:before="60" w:after="120"/>
              <w:rPr>
                <w:rFonts w:ascii="Tahoma" w:hAnsi="Tahoma" w:cs="Tahoma"/>
                <w:sz w:val="18"/>
                <w:szCs w:val="18"/>
              </w:rPr>
            </w:pPr>
            <w:r w:rsidRPr="00332668">
              <w:rPr>
                <w:rFonts w:ascii="Tahoma" w:hAnsi="Tahoma" w:cs="Tahoma"/>
                <w:i/>
                <w:sz w:val="18"/>
                <w:szCs w:val="18"/>
              </w:rPr>
              <w:t xml:space="preserve">Διευκρινήσεις: </w:t>
            </w:r>
            <w:r w:rsidRPr="00332668">
              <w:rPr>
                <w:rFonts w:ascii="Tahoma" w:hAnsi="Tahoma" w:cs="Tahoma"/>
                <w:sz w:val="18"/>
                <w:szCs w:val="18"/>
              </w:rPr>
              <w:t>Οι κόκκινες σημαίες:</w:t>
            </w:r>
          </w:p>
          <w:p w:rsidR="00C313B1" w:rsidRPr="00332668" w:rsidRDefault="00C313B1" w:rsidP="00C313B1">
            <w:pPr>
              <w:pStyle w:val="a5"/>
              <w:numPr>
                <w:ilvl w:val="0"/>
                <w:numId w:val="3"/>
              </w:numPr>
              <w:tabs>
                <w:tab w:val="num" w:pos="460"/>
              </w:tabs>
              <w:spacing w:before="60" w:after="60"/>
              <w:ind w:left="460" w:hanging="284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32668">
              <w:rPr>
                <w:rFonts w:ascii="Tahoma" w:hAnsi="Tahoma" w:cs="Tahoma"/>
                <w:sz w:val="18"/>
                <w:szCs w:val="18"/>
              </w:rPr>
              <w:t xml:space="preserve">δεν αποτελούν </w:t>
            </w:r>
            <w:r w:rsidRPr="00332668">
              <w:rPr>
                <w:rFonts w:ascii="Tahoma" w:hAnsi="Tahoma" w:cs="Tahoma"/>
                <w:b/>
                <w:sz w:val="18"/>
                <w:szCs w:val="18"/>
              </w:rPr>
              <w:t>απόδειξη</w:t>
            </w:r>
            <w:r w:rsidRPr="00332668">
              <w:rPr>
                <w:rFonts w:ascii="Tahoma" w:hAnsi="Tahoma" w:cs="Tahoma"/>
                <w:sz w:val="18"/>
                <w:szCs w:val="18"/>
              </w:rPr>
              <w:t xml:space="preserve"> για την ύπαρξη πιθανής απάτης</w:t>
            </w:r>
          </w:p>
          <w:p w:rsidR="00C313B1" w:rsidRPr="00332668" w:rsidRDefault="00C313B1" w:rsidP="00C313B1">
            <w:pPr>
              <w:pStyle w:val="a5"/>
              <w:numPr>
                <w:ilvl w:val="0"/>
                <w:numId w:val="3"/>
              </w:numPr>
              <w:tabs>
                <w:tab w:val="num" w:pos="460"/>
              </w:tabs>
              <w:spacing w:before="60" w:after="60"/>
              <w:ind w:left="460" w:hanging="284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32668">
              <w:rPr>
                <w:rFonts w:ascii="Tahoma" w:hAnsi="Tahoma" w:cs="Tahoma"/>
                <w:sz w:val="18"/>
                <w:szCs w:val="18"/>
              </w:rPr>
              <w:t xml:space="preserve">αποτελούν στοιχείο για την ανίχνευση πιθανής απάτης, καθώς προειδοποιούν ή εφιστούν την προσοχή ότι μία δραστηριότητα ενδεχομένως κρύβει μία </w:t>
            </w:r>
            <w:r w:rsidRPr="00784483">
              <w:rPr>
                <w:rFonts w:ascii="Tahoma" w:hAnsi="Tahoma" w:cs="Tahoma"/>
                <w:sz w:val="18"/>
                <w:szCs w:val="18"/>
              </w:rPr>
              <w:t>συμπεριφορά</w:t>
            </w:r>
            <w:r w:rsidRPr="0033266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F6C34">
              <w:rPr>
                <w:rFonts w:ascii="Tahoma" w:hAnsi="Tahoma" w:cs="Tahoma"/>
                <w:sz w:val="18"/>
                <w:szCs w:val="18"/>
              </w:rPr>
              <w:t xml:space="preserve">με πρόθεση </w:t>
            </w:r>
            <w:r w:rsidRPr="00332668">
              <w:rPr>
                <w:rFonts w:ascii="Tahoma" w:hAnsi="Tahoma" w:cs="Tahoma"/>
                <w:sz w:val="18"/>
                <w:szCs w:val="18"/>
              </w:rPr>
              <w:t>(</w:t>
            </w:r>
            <w:r>
              <w:rPr>
                <w:rFonts w:ascii="Tahoma" w:hAnsi="Tahoma" w:cs="Tahoma"/>
                <w:b/>
                <w:sz w:val="18"/>
                <w:szCs w:val="18"/>
              </w:rPr>
              <w:t>οδηγούν σε υποψία</w:t>
            </w:r>
            <w:r w:rsidRPr="00332668">
              <w:rPr>
                <w:rFonts w:ascii="Tahoma" w:hAnsi="Tahoma" w:cs="Tahoma"/>
                <w:b/>
                <w:sz w:val="18"/>
                <w:szCs w:val="18"/>
              </w:rPr>
              <w:t>-«ένδειξη απάτης</w:t>
            </w:r>
            <w:r w:rsidRPr="00332668">
              <w:rPr>
                <w:rFonts w:ascii="Tahoma" w:hAnsi="Tahoma" w:cs="Tahoma"/>
                <w:sz w:val="18"/>
                <w:szCs w:val="18"/>
              </w:rPr>
              <w:t>»)</w:t>
            </w:r>
          </w:p>
          <w:p w:rsidR="00C313B1" w:rsidRPr="00332668" w:rsidRDefault="00C313B1" w:rsidP="00C313B1">
            <w:pPr>
              <w:pStyle w:val="a5"/>
              <w:numPr>
                <w:ilvl w:val="0"/>
                <w:numId w:val="3"/>
              </w:numPr>
              <w:tabs>
                <w:tab w:val="num" w:pos="460"/>
              </w:tabs>
              <w:spacing w:before="60" w:after="60"/>
              <w:ind w:left="460" w:hanging="284"/>
              <w:contextualSpacing w:val="0"/>
              <w:rPr>
                <w:rFonts w:ascii="Tahoma" w:hAnsi="Tahoma" w:cs="Tahoma"/>
                <w:i/>
                <w:sz w:val="20"/>
                <w:szCs w:val="20"/>
              </w:rPr>
            </w:pPr>
            <w:r w:rsidRPr="00332668">
              <w:rPr>
                <w:rFonts w:ascii="Tahoma" w:hAnsi="Tahoma" w:cs="Tahoma"/>
                <w:sz w:val="18"/>
                <w:szCs w:val="18"/>
              </w:rPr>
              <w:t>κρίνονται κατά περίπτωση και υπό το πρίσμα των πραγματικών περιστατικών της υπόθεσης</w:t>
            </w:r>
            <w:r w:rsidR="007518A3" w:rsidRPr="007518A3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</w:tbl>
    <w:p w:rsidR="00C313B1" w:rsidRPr="00A63C05" w:rsidRDefault="00C313B1" w:rsidP="00C313B1">
      <w:pPr>
        <w:spacing w:before="0"/>
        <w:rPr>
          <w:rFonts w:ascii="Tahoma" w:hAnsi="Tahoma" w:cs="Tahoma"/>
          <w:b/>
          <w:color w:val="1F497D"/>
          <w:sz w:val="20"/>
          <w:szCs w:val="20"/>
        </w:rPr>
      </w:pPr>
    </w:p>
    <w:p w:rsidR="0053711A" w:rsidRDefault="0053711A"/>
    <w:sectPr w:rsidR="0053711A" w:rsidSect="00E55BBD">
      <w:footerReference w:type="default" r:id="rId9"/>
      <w:pgSz w:w="11906" w:h="16838"/>
      <w:pgMar w:top="1276" w:right="1247" w:bottom="1702" w:left="1247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BD5" w:rsidRDefault="00115BD5" w:rsidP="00C313B1">
      <w:pPr>
        <w:spacing w:before="0"/>
      </w:pPr>
      <w:r>
        <w:separator/>
      </w:r>
    </w:p>
  </w:endnote>
  <w:endnote w:type="continuationSeparator" w:id="0">
    <w:p w:rsidR="00115BD5" w:rsidRDefault="00115BD5" w:rsidP="00C313B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31" w:type="dxa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383"/>
      <w:gridCol w:w="2850"/>
      <w:gridCol w:w="2798"/>
    </w:tblGrid>
    <w:tr w:rsidR="00687721" w:rsidRPr="00E51E09" w:rsidTr="0053711A">
      <w:trPr>
        <w:jc w:val="center"/>
      </w:trPr>
      <w:tc>
        <w:tcPr>
          <w:tcW w:w="3383" w:type="dxa"/>
          <w:shd w:val="clear" w:color="auto" w:fill="auto"/>
        </w:tcPr>
        <w:p w:rsidR="00687721" w:rsidRPr="007D08BE" w:rsidRDefault="00687721" w:rsidP="0053711A">
          <w:pPr>
            <w:spacing w:before="60"/>
            <w:jc w:val="left"/>
            <w:rPr>
              <w:rFonts w:ascii="Tahoma" w:hAnsi="Tahoma" w:cs="Tahoma"/>
              <w:bCs/>
              <w:sz w:val="16"/>
              <w:szCs w:val="16"/>
            </w:rPr>
          </w:pPr>
          <w:r w:rsidRPr="007D08BE">
            <w:rPr>
              <w:rFonts w:ascii="Tahoma" w:hAnsi="Tahoma" w:cs="Tahoma"/>
              <w:bCs/>
              <w:sz w:val="16"/>
              <w:szCs w:val="16"/>
            </w:rPr>
            <w:t>Οδηγία: O.VIII.2_1</w:t>
          </w:r>
        </w:p>
        <w:p w:rsidR="00687721" w:rsidRPr="007D08BE" w:rsidRDefault="00687721" w:rsidP="0053711A">
          <w:pPr>
            <w:spacing w:before="0"/>
            <w:jc w:val="left"/>
            <w:rPr>
              <w:rFonts w:ascii="Tahoma" w:hAnsi="Tahoma" w:cs="Tahoma"/>
              <w:bCs/>
              <w:sz w:val="16"/>
              <w:szCs w:val="16"/>
            </w:rPr>
          </w:pPr>
          <w:r w:rsidRPr="007D08BE">
            <w:rPr>
              <w:rFonts w:ascii="Tahoma" w:hAnsi="Tahoma" w:cs="Tahoma"/>
              <w:bCs/>
              <w:sz w:val="16"/>
              <w:szCs w:val="16"/>
            </w:rPr>
            <w:t xml:space="preserve">Έκδοση: 2η </w:t>
          </w:r>
        </w:p>
        <w:p w:rsidR="00687721" w:rsidRPr="008A7788" w:rsidRDefault="00687721" w:rsidP="007D08BE">
          <w:pPr>
            <w:spacing w:before="0"/>
            <w:jc w:val="left"/>
            <w:rPr>
              <w:rFonts w:ascii="Tahoma" w:hAnsi="Tahoma" w:cs="Tahoma"/>
              <w:bCs/>
              <w:szCs w:val="20"/>
            </w:rPr>
          </w:pPr>
          <w:r w:rsidRPr="007D08BE">
            <w:rPr>
              <w:rFonts w:ascii="Tahoma" w:hAnsi="Tahoma" w:cs="Tahoma"/>
              <w:bCs/>
              <w:sz w:val="16"/>
              <w:szCs w:val="16"/>
            </w:rPr>
            <w:t xml:space="preserve">Ημ. Έκδοσης: </w:t>
          </w:r>
          <w:r w:rsidR="007D08BE" w:rsidRPr="007D08BE">
            <w:rPr>
              <w:rFonts w:ascii="Tahoma" w:hAnsi="Tahoma" w:cs="Tahoma"/>
              <w:bCs/>
              <w:sz w:val="16"/>
              <w:szCs w:val="16"/>
            </w:rPr>
            <w:t>28.04.</w:t>
          </w:r>
          <w:r w:rsidRPr="007D08BE">
            <w:rPr>
              <w:rFonts w:ascii="Tahoma" w:hAnsi="Tahoma" w:cs="Tahoma"/>
              <w:bCs/>
              <w:sz w:val="16"/>
              <w:szCs w:val="16"/>
            </w:rPr>
            <w:t>201</w:t>
          </w:r>
          <w:r w:rsidR="00AD5323" w:rsidRPr="007D08BE">
            <w:rPr>
              <w:rFonts w:ascii="Tahoma" w:hAnsi="Tahoma" w:cs="Tahoma"/>
              <w:bCs/>
              <w:sz w:val="16"/>
              <w:szCs w:val="16"/>
            </w:rPr>
            <w:t>7</w:t>
          </w:r>
        </w:p>
      </w:tc>
      <w:tc>
        <w:tcPr>
          <w:tcW w:w="2850" w:type="dxa"/>
          <w:shd w:val="clear" w:color="auto" w:fill="auto"/>
          <w:vAlign w:val="center"/>
        </w:tcPr>
        <w:p w:rsidR="00687721" w:rsidRPr="00E51E09" w:rsidRDefault="00687721" w:rsidP="0053711A">
          <w:pPr>
            <w:spacing w:before="0"/>
            <w:rPr>
              <w:rFonts w:ascii="Tahoma" w:hAnsi="Tahoma" w:cs="Tahoma"/>
              <w:bCs/>
              <w:sz w:val="16"/>
              <w:szCs w:val="16"/>
            </w:rPr>
          </w:pPr>
          <w:r w:rsidRPr="00E51E09">
            <w:rPr>
              <w:rFonts w:ascii="Tahoma" w:hAnsi="Tahoma" w:cs="Tahoma"/>
              <w:bCs/>
              <w:sz w:val="16"/>
              <w:szCs w:val="16"/>
            </w:rPr>
            <w:t xml:space="preserve">                - </w:t>
          </w:r>
          <w:r w:rsidRPr="00E51E09">
            <w:rPr>
              <w:rFonts w:ascii="Tahoma" w:hAnsi="Tahoma" w:cs="Tahoma"/>
              <w:bCs/>
              <w:sz w:val="16"/>
              <w:szCs w:val="16"/>
            </w:rPr>
            <w:fldChar w:fldCharType="begin"/>
          </w:r>
          <w:r w:rsidRPr="00E51E09">
            <w:rPr>
              <w:rFonts w:ascii="Tahoma" w:hAnsi="Tahoma" w:cs="Tahoma"/>
              <w:bCs/>
              <w:sz w:val="16"/>
              <w:szCs w:val="16"/>
            </w:rPr>
            <w:instrText xml:space="preserve"> PAGE </w:instrText>
          </w:r>
          <w:r w:rsidRPr="00E51E09">
            <w:rPr>
              <w:rFonts w:ascii="Tahoma" w:hAnsi="Tahoma" w:cs="Tahoma"/>
              <w:bCs/>
              <w:sz w:val="16"/>
              <w:szCs w:val="16"/>
            </w:rPr>
            <w:fldChar w:fldCharType="separate"/>
          </w:r>
          <w:r w:rsidR="007D08BE">
            <w:rPr>
              <w:rFonts w:ascii="Tahoma" w:hAnsi="Tahoma" w:cs="Tahoma"/>
              <w:bCs/>
              <w:noProof/>
              <w:sz w:val="16"/>
              <w:szCs w:val="16"/>
            </w:rPr>
            <w:t>2</w:t>
          </w:r>
          <w:r w:rsidRPr="00E51E09">
            <w:rPr>
              <w:rFonts w:ascii="Tahoma" w:hAnsi="Tahoma" w:cs="Tahoma"/>
              <w:bCs/>
              <w:sz w:val="16"/>
              <w:szCs w:val="16"/>
            </w:rPr>
            <w:fldChar w:fldCharType="end"/>
          </w:r>
          <w:r w:rsidRPr="00E51E09">
            <w:rPr>
              <w:rFonts w:ascii="Tahoma" w:hAnsi="Tahoma" w:cs="Tahoma"/>
              <w:bCs/>
              <w:sz w:val="16"/>
              <w:szCs w:val="16"/>
            </w:rPr>
            <w:t xml:space="preserve"> -</w:t>
          </w:r>
        </w:p>
      </w:tc>
      <w:tc>
        <w:tcPr>
          <w:tcW w:w="2798" w:type="dxa"/>
          <w:shd w:val="clear" w:color="auto" w:fill="auto"/>
          <w:vAlign w:val="center"/>
        </w:tcPr>
        <w:p w:rsidR="00687721" w:rsidRPr="00E51E09" w:rsidRDefault="00687721" w:rsidP="0053711A">
          <w:pPr>
            <w:jc w:val="right"/>
            <w:rPr>
              <w:rFonts w:ascii="Tahoma" w:hAnsi="Tahoma" w:cs="Tahoma"/>
              <w:bCs/>
              <w:szCs w:val="20"/>
            </w:rPr>
          </w:pPr>
          <w:r w:rsidRPr="00A63C05"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 wp14:anchorId="739153B3" wp14:editId="2944FC2E">
                <wp:extent cx="780415" cy="460117"/>
                <wp:effectExtent l="0" t="0" r="0" b="0"/>
                <wp:docPr id="1" name="Εικόνα 1" descr="espa1420_logo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pa1420_logo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0415" cy="4601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87721" w:rsidRPr="00E51E09" w:rsidRDefault="00687721" w:rsidP="0053711A">
    <w:pPr>
      <w:pStyle w:val="a3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BD5" w:rsidRDefault="00115BD5" w:rsidP="00C313B1">
      <w:pPr>
        <w:spacing w:before="0"/>
      </w:pPr>
      <w:r>
        <w:separator/>
      </w:r>
    </w:p>
  </w:footnote>
  <w:footnote w:type="continuationSeparator" w:id="0">
    <w:p w:rsidR="00115BD5" w:rsidRDefault="00115BD5" w:rsidP="00C313B1">
      <w:pPr>
        <w:spacing w:before="0"/>
      </w:pPr>
      <w:r>
        <w:continuationSeparator/>
      </w:r>
    </w:p>
  </w:footnote>
  <w:footnote w:id="1">
    <w:p w:rsidR="00AD5323" w:rsidRPr="00AD5323" w:rsidRDefault="00AD5323" w:rsidP="00ED07EC">
      <w:pPr>
        <w:autoSpaceDE w:val="0"/>
        <w:autoSpaceDN w:val="0"/>
        <w:adjustRightInd w:val="0"/>
        <w:spacing w:after="120" w:line="280" w:lineRule="exact"/>
        <w:rPr>
          <w:rFonts w:ascii="Tahoma" w:hAnsi="Tahoma" w:cs="Tahoma"/>
        </w:rPr>
      </w:pPr>
      <w:r w:rsidRPr="00AD5323">
        <w:rPr>
          <w:rStyle w:val="a8"/>
          <w:rFonts w:ascii="Tahoma" w:hAnsi="Tahoma" w:cs="Tahoma"/>
        </w:rPr>
        <w:footnoteRef/>
      </w:r>
      <w:r w:rsidRPr="00AD5323">
        <w:rPr>
          <w:rFonts w:ascii="Tahoma" w:hAnsi="Tahoma" w:cs="Tahoma"/>
        </w:rPr>
        <w:t xml:space="preserve"> </w:t>
      </w:r>
      <w:r w:rsidRPr="00AD5323">
        <w:rPr>
          <w:rFonts w:ascii="Tahoma" w:hAnsi="Tahoma" w:cs="Tahoma"/>
          <w:sz w:val="18"/>
          <w:szCs w:val="18"/>
        </w:rPr>
        <w:t>Οδηγός</w:t>
      </w:r>
      <w:r>
        <w:rPr>
          <w:rFonts w:ascii="Tahoma" w:hAnsi="Tahoma" w:cs="Tahoma"/>
          <w:sz w:val="18"/>
          <w:szCs w:val="18"/>
        </w:rPr>
        <w:t xml:space="preserve"> ΕΕ</w:t>
      </w:r>
      <w:r w:rsidRPr="00AD5323">
        <w:rPr>
          <w:rFonts w:ascii="Tahoma" w:hAnsi="Tahoma" w:cs="Tahoma"/>
          <w:sz w:val="18"/>
          <w:szCs w:val="18"/>
        </w:rPr>
        <w:t xml:space="preserve">: </w:t>
      </w:r>
      <w:r>
        <w:rPr>
          <w:rFonts w:ascii="Tahoma" w:hAnsi="Tahoma" w:cs="Tahoma"/>
          <w:sz w:val="18"/>
          <w:szCs w:val="18"/>
        </w:rPr>
        <w:t>«</w:t>
      </w:r>
      <w:r w:rsidRPr="00AD5323">
        <w:rPr>
          <w:rFonts w:ascii="Tahoma" w:hAnsi="Tahoma" w:cs="Tahoma"/>
          <w:color w:val="000000"/>
          <w:sz w:val="18"/>
          <w:szCs w:val="18"/>
        </w:rPr>
        <w:t>Σύνοψη ανωνυμοποιημένων υποθέσεων/ Διαρθρωτικές δράσεις</w:t>
      </w:r>
      <w:r>
        <w:rPr>
          <w:rFonts w:ascii="Tahoma" w:hAnsi="Tahoma" w:cs="Tahoma"/>
          <w:color w:val="000000"/>
          <w:sz w:val="18"/>
          <w:szCs w:val="18"/>
        </w:rPr>
        <w:t>».</w:t>
      </w:r>
      <w:r w:rsidRPr="00AD5323">
        <w:rPr>
          <w:rFonts w:ascii="Tahoma" w:hAnsi="Tahoma" w:cs="Tahoma"/>
          <w:color w:val="000000"/>
          <w:sz w:val="18"/>
          <w:szCs w:val="18"/>
        </w:rPr>
        <w:t xml:space="preserve"> OLAF, 2014, σελ. 12-13.</w:t>
      </w:r>
    </w:p>
  </w:footnote>
  <w:footnote w:id="2">
    <w:p w:rsidR="0098735C" w:rsidRPr="0098735C" w:rsidRDefault="00C039BA" w:rsidP="00E55BBD">
      <w:pPr>
        <w:autoSpaceDE w:val="0"/>
        <w:autoSpaceDN w:val="0"/>
        <w:adjustRightInd w:val="0"/>
        <w:ind w:left="284" w:hanging="284"/>
        <w:rPr>
          <w:rFonts w:ascii="Tahoma" w:hAnsi="Tahoma" w:cs="Tahoma"/>
          <w:color w:val="000000"/>
          <w:sz w:val="18"/>
          <w:szCs w:val="18"/>
        </w:rPr>
      </w:pPr>
      <w:r w:rsidRPr="003273B5">
        <w:rPr>
          <w:rStyle w:val="a8"/>
          <w:rFonts w:ascii="Tahoma" w:hAnsi="Tahoma" w:cs="Tahoma"/>
          <w:sz w:val="18"/>
          <w:szCs w:val="18"/>
        </w:rPr>
        <w:footnoteRef/>
      </w:r>
      <w:r w:rsidR="00E55BBD" w:rsidRPr="00E55BBD">
        <w:rPr>
          <w:rFonts w:ascii="Tahoma" w:hAnsi="Tahoma" w:cs="Tahoma"/>
          <w:sz w:val="18"/>
          <w:szCs w:val="18"/>
        </w:rPr>
        <w:t xml:space="preserve"> </w:t>
      </w:r>
      <w:r w:rsidRPr="003273B5">
        <w:rPr>
          <w:rFonts w:ascii="Tahoma" w:hAnsi="Tahoma" w:cs="Tahoma"/>
          <w:sz w:val="18"/>
          <w:szCs w:val="18"/>
        </w:rPr>
        <w:t>Οδηγός ΕΕ: «</w:t>
      </w:r>
      <w:r w:rsidRPr="003273B5">
        <w:rPr>
          <w:rFonts w:ascii="Tahoma" w:hAnsi="Tahoma" w:cs="Tahoma"/>
          <w:color w:val="000000"/>
          <w:sz w:val="18"/>
          <w:szCs w:val="18"/>
        </w:rPr>
        <w:t>Σύνοψη ανωνυμοποιημένων υποθέσεων/ Διαρθρωτικές δράσεις». OLAF, 2014, σελ. 13</w:t>
      </w:r>
      <w:r w:rsidR="0098735C">
        <w:rPr>
          <w:rFonts w:ascii="Tahoma" w:hAnsi="Tahoma" w:cs="Tahoma"/>
          <w:color w:val="000000"/>
          <w:sz w:val="18"/>
          <w:szCs w:val="18"/>
        </w:rPr>
        <w:t>,</w:t>
      </w:r>
      <w:r w:rsidR="0098735C" w:rsidRPr="0098735C">
        <w:rPr>
          <w:rFonts w:ascii="Tahoma" w:hAnsi="Tahoma" w:cs="Tahoma"/>
          <w:color w:val="000000"/>
          <w:sz w:val="18"/>
          <w:szCs w:val="18"/>
        </w:rPr>
        <w:t xml:space="preserve"> και </w:t>
      </w:r>
    </w:p>
    <w:p w:rsidR="00C039BA" w:rsidRPr="0098735C" w:rsidRDefault="0098735C" w:rsidP="0098735C">
      <w:pPr>
        <w:autoSpaceDE w:val="0"/>
        <w:autoSpaceDN w:val="0"/>
        <w:adjustRightInd w:val="0"/>
        <w:spacing w:before="0" w:after="120"/>
        <w:ind w:left="142"/>
        <w:rPr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Υ</w:t>
      </w:r>
      <w:r w:rsidRPr="0098735C">
        <w:rPr>
          <w:rFonts w:ascii="Tahoma" w:hAnsi="Tahoma" w:cs="Tahoma"/>
          <w:sz w:val="18"/>
          <w:szCs w:val="18"/>
        </w:rPr>
        <w:t xml:space="preserve">ποσημείωση 30, Ανακοίνωση της Επιτροπής προς το Ευρωπαϊκό </w:t>
      </w:r>
      <w:r w:rsidRPr="0098735C">
        <w:rPr>
          <w:rFonts w:ascii="Tahoma" w:hAnsi="Tahoma" w:cs="Tahoma"/>
          <w:sz w:val="18"/>
          <w:szCs w:val="18"/>
          <w:lang w:val="en-US"/>
        </w:rPr>
        <w:t>K</w:t>
      </w:r>
      <w:r w:rsidRPr="0098735C">
        <w:rPr>
          <w:rFonts w:ascii="Tahoma" w:hAnsi="Tahoma" w:cs="Tahoma"/>
          <w:sz w:val="18"/>
          <w:szCs w:val="18"/>
        </w:rPr>
        <w:t xml:space="preserve">οινοβούλιο, το Συμβούλιο, την </w:t>
      </w:r>
      <w:r w:rsidRPr="0098735C">
        <w:rPr>
          <w:rFonts w:ascii="Tahoma" w:hAnsi="Tahoma" w:cs="Tahoma"/>
          <w:sz w:val="18"/>
          <w:szCs w:val="18"/>
          <w:lang w:val="en-US"/>
        </w:rPr>
        <w:t>E</w:t>
      </w:r>
      <w:r w:rsidRPr="0098735C">
        <w:rPr>
          <w:rFonts w:ascii="Tahoma" w:hAnsi="Tahoma" w:cs="Tahoma"/>
          <w:sz w:val="18"/>
          <w:szCs w:val="18"/>
        </w:rPr>
        <w:t xml:space="preserve">υρωπαϊκή </w:t>
      </w:r>
      <w:r w:rsidRPr="0098735C">
        <w:rPr>
          <w:rFonts w:ascii="Tahoma" w:hAnsi="Tahoma" w:cs="Tahoma"/>
          <w:sz w:val="18"/>
          <w:szCs w:val="18"/>
          <w:lang w:val="en-US"/>
        </w:rPr>
        <w:t>O</w:t>
      </w:r>
      <w:r w:rsidRPr="0098735C">
        <w:rPr>
          <w:rFonts w:ascii="Tahoma" w:hAnsi="Tahoma" w:cs="Tahoma"/>
          <w:sz w:val="18"/>
          <w:szCs w:val="18"/>
        </w:rPr>
        <w:t>ικονομική και Κοινωνική Επιτροπή, την Επιτροπή των Περιφερειών και το Ελεγκτικό Συνέδριο σχετικά με τη Στρατηγική της Επιτροπής για την Καταπολέμηση της Απάτης COM(2011) 376 τελικό, 24.6.2011].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367E"/>
    <w:multiLevelType w:val="hybridMultilevel"/>
    <w:tmpl w:val="FB022C20"/>
    <w:lvl w:ilvl="0" w:tplc="44BA0012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B78C2"/>
    <w:multiLevelType w:val="hybridMultilevel"/>
    <w:tmpl w:val="4A1EDC30"/>
    <w:lvl w:ilvl="0" w:tplc="00204E24">
      <w:start w:val="2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B7D3F"/>
    <w:multiLevelType w:val="hybridMultilevel"/>
    <w:tmpl w:val="2DD835BC"/>
    <w:lvl w:ilvl="0" w:tplc="3B70CAC2">
      <w:start w:val="1"/>
      <w:numFmt w:val="decimal"/>
      <w:lvlText w:val="[%1]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30D5380"/>
    <w:multiLevelType w:val="multilevel"/>
    <w:tmpl w:val="F692DFD4"/>
    <w:lvl w:ilvl="0">
      <w:start w:val="1"/>
      <w:numFmt w:val="upperRoman"/>
      <w:pStyle w:val="1"/>
      <w:lvlText w:val="Λειτουργική Περιοχή %1: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Διαδικασία Δ%1_%2:"/>
      <w:lvlJc w:val="left"/>
      <w:pPr>
        <w:ind w:left="3270" w:hanging="576"/>
      </w:pPr>
      <w:rPr>
        <w:rFonts w:hint="default"/>
      </w:rPr>
    </w:lvl>
    <w:lvl w:ilvl="2">
      <w:start w:val="1"/>
      <w:numFmt w:val="decimal"/>
      <w:lvlRestart w:val="1"/>
      <w:pStyle w:val="3"/>
      <w:lvlText w:val="Διαδικασία Δ%1_%2: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250D1267"/>
    <w:multiLevelType w:val="hybridMultilevel"/>
    <w:tmpl w:val="61685DFC"/>
    <w:lvl w:ilvl="0" w:tplc="FE86F6C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A52F6F"/>
    <w:multiLevelType w:val="hybridMultilevel"/>
    <w:tmpl w:val="E948328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210FC5"/>
    <w:multiLevelType w:val="hybridMultilevel"/>
    <w:tmpl w:val="196A4EFC"/>
    <w:lvl w:ilvl="0" w:tplc="58D097F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13B1"/>
    <w:rsid w:val="00022748"/>
    <w:rsid w:val="00041566"/>
    <w:rsid w:val="00072814"/>
    <w:rsid w:val="00094880"/>
    <w:rsid w:val="000F6C34"/>
    <w:rsid w:val="00115BD5"/>
    <w:rsid w:val="00147536"/>
    <w:rsid w:val="0015038E"/>
    <w:rsid w:val="001812CA"/>
    <w:rsid w:val="001B68C1"/>
    <w:rsid w:val="001E7563"/>
    <w:rsid w:val="00255746"/>
    <w:rsid w:val="002C3011"/>
    <w:rsid w:val="00326A4E"/>
    <w:rsid w:val="00327168"/>
    <w:rsid w:val="003273B5"/>
    <w:rsid w:val="003429D5"/>
    <w:rsid w:val="003B7EE2"/>
    <w:rsid w:val="003E2C2C"/>
    <w:rsid w:val="004D19BA"/>
    <w:rsid w:val="004E6537"/>
    <w:rsid w:val="004F761E"/>
    <w:rsid w:val="0051348C"/>
    <w:rsid w:val="00533751"/>
    <w:rsid w:val="0053711A"/>
    <w:rsid w:val="005D22EE"/>
    <w:rsid w:val="005D5307"/>
    <w:rsid w:val="005F2BB6"/>
    <w:rsid w:val="006049B4"/>
    <w:rsid w:val="006476BE"/>
    <w:rsid w:val="00687721"/>
    <w:rsid w:val="006917D9"/>
    <w:rsid w:val="006C3CA2"/>
    <w:rsid w:val="007151BF"/>
    <w:rsid w:val="00744C76"/>
    <w:rsid w:val="007518A3"/>
    <w:rsid w:val="00762163"/>
    <w:rsid w:val="00773C13"/>
    <w:rsid w:val="0078071B"/>
    <w:rsid w:val="00784483"/>
    <w:rsid w:val="007D08BE"/>
    <w:rsid w:val="007D2DFC"/>
    <w:rsid w:val="00822769"/>
    <w:rsid w:val="00884060"/>
    <w:rsid w:val="008B182A"/>
    <w:rsid w:val="008C3900"/>
    <w:rsid w:val="00933296"/>
    <w:rsid w:val="0098735C"/>
    <w:rsid w:val="00987BC2"/>
    <w:rsid w:val="00990DF7"/>
    <w:rsid w:val="009A32D0"/>
    <w:rsid w:val="00A14F54"/>
    <w:rsid w:val="00A237D8"/>
    <w:rsid w:val="00A37BA2"/>
    <w:rsid w:val="00AC5018"/>
    <w:rsid w:val="00AD5323"/>
    <w:rsid w:val="00AD7692"/>
    <w:rsid w:val="00B40F14"/>
    <w:rsid w:val="00B56192"/>
    <w:rsid w:val="00B72126"/>
    <w:rsid w:val="00BA2C27"/>
    <w:rsid w:val="00BA3860"/>
    <w:rsid w:val="00BC1591"/>
    <w:rsid w:val="00C039BA"/>
    <w:rsid w:val="00C313B1"/>
    <w:rsid w:val="00C45C90"/>
    <w:rsid w:val="00CC3021"/>
    <w:rsid w:val="00CC6231"/>
    <w:rsid w:val="00CE3CBF"/>
    <w:rsid w:val="00CE78BF"/>
    <w:rsid w:val="00D231EB"/>
    <w:rsid w:val="00D4289B"/>
    <w:rsid w:val="00D733AA"/>
    <w:rsid w:val="00D76E07"/>
    <w:rsid w:val="00DA1FF4"/>
    <w:rsid w:val="00DE65F6"/>
    <w:rsid w:val="00E105A3"/>
    <w:rsid w:val="00E3006D"/>
    <w:rsid w:val="00E52850"/>
    <w:rsid w:val="00E55BBD"/>
    <w:rsid w:val="00E55F0E"/>
    <w:rsid w:val="00ED07EC"/>
    <w:rsid w:val="00F076B9"/>
    <w:rsid w:val="00F30231"/>
    <w:rsid w:val="00F37614"/>
    <w:rsid w:val="00F5542F"/>
    <w:rsid w:val="00F90DD5"/>
    <w:rsid w:val="00FA0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3B1"/>
    <w:pPr>
      <w:spacing w:before="120" w:after="0" w:line="240" w:lineRule="auto"/>
      <w:jc w:val="both"/>
    </w:pPr>
    <w:rPr>
      <w:rFonts w:ascii="Arial Narrow" w:eastAsia="Times New Roman" w:hAnsi="Arial Narrow" w:cs="Times New Roman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C313B1"/>
    <w:pPr>
      <w:keepNext/>
      <w:keepLines/>
      <w:pageBreakBefore/>
      <w:numPr>
        <w:numId w:val="1"/>
      </w:numPr>
      <w:shd w:val="clear" w:color="auto" w:fill="D9D9D9"/>
      <w:tabs>
        <w:tab w:val="left" w:pos="3261"/>
      </w:tabs>
      <w:ind w:left="3261" w:hanging="3261"/>
      <w:outlineLvl w:val="0"/>
    </w:pPr>
    <w:rPr>
      <w:b/>
      <w:bCs/>
      <w:color w:val="990000"/>
      <w:sz w:val="32"/>
      <w:szCs w:val="28"/>
    </w:rPr>
  </w:style>
  <w:style w:type="paragraph" w:styleId="2">
    <w:name w:val="heading 2"/>
    <w:basedOn w:val="a"/>
    <w:next w:val="a"/>
    <w:link w:val="2Char"/>
    <w:qFormat/>
    <w:rsid w:val="00C313B1"/>
    <w:pPr>
      <w:keepNext/>
      <w:keepLines/>
      <w:pageBreakBefore/>
      <w:numPr>
        <w:ilvl w:val="1"/>
        <w:numId w:val="1"/>
      </w:numPr>
      <w:tabs>
        <w:tab w:val="left" w:pos="1985"/>
      </w:tabs>
      <w:outlineLvl w:val="1"/>
    </w:pPr>
    <w:rPr>
      <w:b/>
      <w:bCs/>
      <w:color w:val="990000"/>
      <w:sz w:val="28"/>
      <w:szCs w:val="26"/>
    </w:rPr>
  </w:style>
  <w:style w:type="paragraph" w:styleId="3">
    <w:name w:val="heading 3"/>
    <w:basedOn w:val="a"/>
    <w:next w:val="a"/>
    <w:link w:val="3Char"/>
    <w:qFormat/>
    <w:rsid w:val="00C313B1"/>
    <w:pPr>
      <w:keepNext/>
      <w:keepLines/>
      <w:pageBreakBefore/>
      <w:numPr>
        <w:ilvl w:val="2"/>
        <w:numId w:val="1"/>
      </w:numPr>
      <w:tabs>
        <w:tab w:val="left" w:pos="1985"/>
      </w:tabs>
      <w:ind w:left="1985" w:hanging="1985"/>
      <w:outlineLvl w:val="2"/>
    </w:pPr>
    <w:rPr>
      <w:b/>
      <w:bCs/>
      <w:color w:val="990000"/>
      <w:sz w:val="28"/>
      <w:szCs w:val="28"/>
    </w:rPr>
  </w:style>
  <w:style w:type="paragraph" w:styleId="4">
    <w:name w:val="heading 4"/>
    <w:basedOn w:val="a"/>
    <w:next w:val="a"/>
    <w:link w:val="4Char"/>
    <w:qFormat/>
    <w:rsid w:val="00C313B1"/>
    <w:pPr>
      <w:keepNext/>
      <w:keepLines/>
      <w:numPr>
        <w:ilvl w:val="3"/>
        <w:numId w:val="1"/>
      </w:numPr>
      <w:tabs>
        <w:tab w:val="left" w:pos="851"/>
      </w:tabs>
      <w:spacing w:before="200"/>
      <w:outlineLvl w:val="3"/>
    </w:pPr>
    <w:rPr>
      <w:b/>
      <w:bCs/>
      <w:i/>
      <w:iCs/>
      <w:color w:val="4F81BD"/>
      <w:sz w:val="24"/>
    </w:rPr>
  </w:style>
  <w:style w:type="paragraph" w:styleId="5">
    <w:name w:val="heading 5"/>
    <w:basedOn w:val="a"/>
    <w:next w:val="a"/>
    <w:link w:val="5Char"/>
    <w:qFormat/>
    <w:rsid w:val="00C313B1"/>
    <w:pPr>
      <w:keepNext/>
      <w:keepLines/>
      <w:numPr>
        <w:ilvl w:val="4"/>
        <w:numId w:val="1"/>
      </w:numPr>
      <w:spacing w:before="200"/>
      <w:outlineLvl w:val="4"/>
    </w:pPr>
    <w:rPr>
      <w:color w:val="990000"/>
    </w:rPr>
  </w:style>
  <w:style w:type="paragraph" w:styleId="6">
    <w:name w:val="heading 6"/>
    <w:basedOn w:val="a"/>
    <w:next w:val="a"/>
    <w:link w:val="6Char"/>
    <w:qFormat/>
    <w:rsid w:val="00C313B1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Char"/>
    <w:qFormat/>
    <w:rsid w:val="00C313B1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Char"/>
    <w:qFormat/>
    <w:rsid w:val="00C313B1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Char"/>
    <w:qFormat/>
    <w:rsid w:val="00C313B1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313B1"/>
    <w:rPr>
      <w:rFonts w:ascii="Arial Narrow" w:eastAsia="Times New Roman" w:hAnsi="Arial Narrow" w:cs="Times New Roman"/>
      <w:b/>
      <w:bCs/>
      <w:color w:val="990000"/>
      <w:sz w:val="32"/>
      <w:szCs w:val="28"/>
      <w:shd w:val="clear" w:color="auto" w:fill="D9D9D9"/>
      <w:lang w:eastAsia="el-GR"/>
    </w:rPr>
  </w:style>
  <w:style w:type="character" w:customStyle="1" w:styleId="2Char">
    <w:name w:val="Επικεφαλίδα 2 Char"/>
    <w:basedOn w:val="a0"/>
    <w:link w:val="2"/>
    <w:rsid w:val="00C313B1"/>
    <w:rPr>
      <w:rFonts w:ascii="Arial Narrow" w:eastAsia="Times New Roman" w:hAnsi="Arial Narrow" w:cs="Times New Roman"/>
      <w:b/>
      <w:bCs/>
      <w:color w:val="990000"/>
      <w:sz w:val="28"/>
      <w:szCs w:val="26"/>
      <w:lang w:eastAsia="el-GR"/>
    </w:rPr>
  </w:style>
  <w:style w:type="character" w:customStyle="1" w:styleId="3Char">
    <w:name w:val="Επικεφαλίδα 3 Char"/>
    <w:basedOn w:val="a0"/>
    <w:link w:val="3"/>
    <w:rsid w:val="00C313B1"/>
    <w:rPr>
      <w:rFonts w:ascii="Arial Narrow" w:eastAsia="Times New Roman" w:hAnsi="Arial Narrow" w:cs="Times New Roman"/>
      <w:b/>
      <w:bCs/>
      <w:color w:val="990000"/>
      <w:sz w:val="28"/>
      <w:szCs w:val="28"/>
      <w:lang w:eastAsia="el-GR"/>
    </w:rPr>
  </w:style>
  <w:style w:type="character" w:customStyle="1" w:styleId="4Char">
    <w:name w:val="Επικεφαλίδα 4 Char"/>
    <w:basedOn w:val="a0"/>
    <w:link w:val="4"/>
    <w:rsid w:val="00C313B1"/>
    <w:rPr>
      <w:rFonts w:ascii="Arial Narrow" w:eastAsia="Times New Roman" w:hAnsi="Arial Narrow" w:cs="Times New Roman"/>
      <w:b/>
      <w:bCs/>
      <w:i/>
      <w:iCs/>
      <w:color w:val="4F81BD"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C313B1"/>
    <w:rPr>
      <w:rFonts w:ascii="Arial Narrow" w:eastAsia="Times New Roman" w:hAnsi="Arial Narrow" w:cs="Times New Roman"/>
      <w:color w:val="990000"/>
      <w:szCs w:val="24"/>
      <w:lang w:eastAsia="el-GR"/>
    </w:rPr>
  </w:style>
  <w:style w:type="character" w:customStyle="1" w:styleId="6Char">
    <w:name w:val="Επικεφαλίδα 6 Char"/>
    <w:basedOn w:val="a0"/>
    <w:link w:val="6"/>
    <w:rsid w:val="00C313B1"/>
    <w:rPr>
      <w:rFonts w:ascii="Cambria" w:eastAsia="Times New Roman" w:hAnsi="Cambria" w:cs="Times New Roman"/>
      <w:i/>
      <w:iCs/>
      <w:color w:val="243F60"/>
      <w:szCs w:val="24"/>
      <w:lang w:eastAsia="el-GR"/>
    </w:rPr>
  </w:style>
  <w:style w:type="character" w:customStyle="1" w:styleId="7Char">
    <w:name w:val="Επικεφαλίδα 7 Char"/>
    <w:basedOn w:val="a0"/>
    <w:link w:val="7"/>
    <w:rsid w:val="00C313B1"/>
    <w:rPr>
      <w:rFonts w:ascii="Cambria" w:eastAsia="Times New Roman" w:hAnsi="Cambria" w:cs="Times New Roman"/>
      <w:i/>
      <w:iCs/>
      <w:color w:val="404040"/>
      <w:szCs w:val="24"/>
      <w:lang w:eastAsia="el-GR"/>
    </w:rPr>
  </w:style>
  <w:style w:type="character" w:customStyle="1" w:styleId="8Char">
    <w:name w:val="Επικεφαλίδα 8 Char"/>
    <w:basedOn w:val="a0"/>
    <w:link w:val="8"/>
    <w:rsid w:val="00C313B1"/>
    <w:rPr>
      <w:rFonts w:ascii="Cambria" w:eastAsia="Times New Roman" w:hAnsi="Cambria" w:cs="Times New Roman"/>
      <w:color w:val="404040"/>
      <w:sz w:val="20"/>
      <w:szCs w:val="20"/>
      <w:lang w:eastAsia="el-GR"/>
    </w:rPr>
  </w:style>
  <w:style w:type="character" w:customStyle="1" w:styleId="9Char">
    <w:name w:val="Επικεφαλίδα 9 Char"/>
    <w:basedOn w:val="a0"/>
    <w:link w:val="9"/>
    <w:rsid w:val="00C313B1"/>
    <w:rPr>
      <w:rFonts w:ascii="Cambria" w:eastAsia="Times New Roman" w:hAnsi="Cambria" w:cs="Times New Roman"/>
      <w:i/>
      <w:iCs/>
      <w:color w:val="404040"/>
      <w:sz w:val="20"/>
      <w:szCs w:val="20"/>
      <w:lang w:eastAsia="el-GR"/>
    </w:rPr>
  </w:style>
  <w:style w:type="paragraph" w:styleId="a3">
    <w:name w:val="footer"/>
    <w:basedOn w:val="a4"/>
    <w:link w:val="Char"/>
    <w:uiPriority w:val="99"/>
    <w:rsid w:val="00C313B1"/>
    <w:pPr>
      <w:tabs>
        <w:tab w:val="clear" w:pos="4153"/>
        <w:tab w:val="clear" w:pos="8306"/>
      </w:tabs>
      <w:spacing w:before="40" w:after="40"/>
      <w:jc w:val="left"/>
    </w:pPr>
    <w:rPr>
      <w:sz w:val="18"/>
      <w:szCs w:val="18"/>
    </w:rPr>
  </w:style>
  <w:style w:type="character" w:customStyle="1" w:styleId="Char">
    <w:name w:val="Υποσέλιδο Char"/>
    <w:basedOn w:val="a0"/>
    <w:link w:val="a3"/>
    <w:uiPriority w:val="99"/>
    <w:rsid w:val="00C313B1"/>
    <w:rPr>
      <w:rFonts w:ascii="Arial Narrow" w:eastAsia="Times New Roman" w:hAnsi="Arial Narrow" w:cs="Times New Roman"/>
      <w:sz w:val="18"/>
      <w:szCs w:val="18"/>
      <w:lang w:eastAsia="el-GR"/>
    </w:rPr>
  </w:style>
  <w:style w:type="paragraph" w:styleId="a5">
    <w:name w:val="List Paragraph"/>
    <w:basedOn w:val="a"/>
    <w:uiPriority w:val="34"/>
    <w:qFormat/>
    <w:rsid w:val="00C313B1"/>
    <w:pPr>
      <w:ind w:left="720"/>
      <w:contextualSpacing/>
    </w:pPr>
  </w:style>
  <w:style w:type="character" w:styleId="a6">
    <w:name w:val="annotation reference"/>
    <w:uiPriority w:val="99"/>
    <w:semiHidden/>
    <w:unhideWhenUsed/>
    <w:rsid w:val="00C313B1"/>
    <w:rPr>
      <w:sz w:val="16"/>
      <w:szCs w:val="16"/>
    </w:rPr>
  </w:style>
  <w:style w:type="paragraph" w:styleId="a7">
    <w:name w:val="annotation text"/>
    <w:basedOn w:val="a"/>
    <w:link w:val="Char0"/>
    <w:uiPriority w:val="99"/>
    <w:semiHidden/>
    <w:unhideWhenUsed/>
    <w:rsid w:val="00C313B1"/>
    <w:rPr>
      <w:sz w:val="20"/>
      <w:szCs w:val="20"/>
    </w:rPr>
  </w:style>
  <w:style w:type="character" w:customStyle="1" w:styleId="Char0">
    <w:name w:val="Κείμενο σχολίου Char"/>
    <w:basedOn w:val="a0"/>
    <w:link w:val="a7"/>
    <w:uiPriority w:val="99"/>
    <w:semiHidden/>
    <w:rsid w:val="00C313B1"/>
    <w:rPr>
      <w:rFonts w:ascii="Arial Narrow" w:eastAsia="Times New Roman" w:hAnsi="Arial Narrow" w:cs="Times New Roman"/>
      <w:sz w:val="20"/>
      <w:szCs w:val="20"/>
      <w:lang w:eastAsia="el-GR"/>
    </w:rPr>
  </w:style>
  <w:style w:type="character" w:styleId="a8">
    <w:name w:val="footnote reference"/>
    <w:unhideWhenUsed/>
    <w:rsid w:val="00C313B1"/>
    <w:rPr>
      <w:vertAlign w:val="superscript"/>
    </w:rPr>
  </w:style>
  <w:style w:type="paragraph" w:styleId="a4">
    <w:name w:val="header"/>
    <w:basedOn w:val="a"/>
    <w:link w:val="Char1"/>
    <w:uiPriority w:val="99"/>
    <w:unhideWhenUsed/>
    <w:rsid w:val="00C313B1"/>
    <w:pPr>
      <w:tabs>
        <w:tab w:val="center" w:pos="4153"/>
        <w:tab w:val="right" w:pos="8306"/>
      </w:tabs>
      <w:spacing w:before="0"/>
    </w:pPr>
  </w:style>
  <w:style w:type="character" w:customStyle="1" w:styleId="Char1">
    <w:name w:val="Κεφαλίδα Char"/>
    <w:basedOn w:val="a0"/>
    <w:link w:val="a4"/>
    <w:uiPriority w:val="99"/>
    <w:rsid w:val="00C313B1"/>
    <w:rPr>
      <w:rFonts w:ascii="Arial Narrow" w:eastAsia="Times New Roman" w:hAnsi="Arial Narrow" w:cs="Times New Roman"/>
      <w:szCs w:val="24"/>
      <w:lang w:eastAsia="el-GR"/>
    </w:rPr>
  </w:style>
  <w:style w:type="paragraph" w:styleId="a9">
    <w:name w:val="Balloon Text"/>
    <w:basedOn w:val="a"/>
    <w:link w:val="Char2"/>
    <w:uiPriority w:val="99"/>
    <w:semiHidden/>
    <w:unhideWhenUsed/>
    <w:rsid w:val="00C313B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C313B1"/>
    <w:rPr>
      <w:rFonts w:ascii="Segoe UI" w:eastAsia="Times New Roman" w:hAnsi="Segoe UI" w:cs="Segoe UI"/>
      <w:sz w:val="18"/>
      <w:szCs w:val="18"/>
      <w:lang w:eastAsia="el-GR"/>
    </w:rPr>
  </w:style>
  <w:style w:type="paragraph" w:styleId="aa">
    <w:name w:val="annotation subject"/>
    <w:basedOn w:val="a7"/>
    <w:next w:val="a7"/>
    <w:link w:val="Char3"/>
    <w:uiPriority w:val="99"/>
    <w:semiHidden/>
    <w:unhideWhenUsed/>
    <w:rsid w:val="00987BC2"/>
    <w:rPr>
      <w:b/>
      <w:bCs/>
    </w:rPr>
  </w:style>
  <w:style w:type="character" w:customStyle="1" w:styleId="Char3">
    <w:name w:val="Θέμα σχολίου Char"/>
    <w:basedOn w:val="Char0"/>
    <w:link w:val="aa"/>
    <w:uiPriority w:val="99"/>
    <w:semiHidden/>
    <w:rsid w:val="00987BC2"/>
    <w:rPr>
      <w:rFonts w:ascii="Arial Narrow" w:eastAsia="Times New Roman" w:hAnsi="Arial Narrow" w:cs="Times New Roman"/>
      <w:b/>
      <w:bCs/>
      <w:sz w:val="20"/>
      <w:szCs w:val="20"/>
      <w:lang w:eastAsia="el-GR"/>
    </w:rPr>
  </w:style>
  <w:style w:type="paragraph" w:customStyle="1" w:styleId="Default">
    <w:name w:val="Default"/>
    <w:rsid w:val="003E2C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footnote text"/>
    <w:basedOn w:val="a"/>
    <w:link w:val="Char4"/>
    <w:uiPriority w:val="99"/>
    <w:semiHidden/>
    <w:unhideWhenUsed/>
    <w:rsid w:val="0053711A"/>
    <w:pPr>
      <w:spacing w:before="0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b"/>
    <w:uiPriority w:val="99"/>
    <w:semiHidden/>
    <w:rsid w:val="0053711A"/>
    <w:rPr>
      <w:rFonts w:ascii="Arial Narrow" w:eastAsia="Times New Roman" w:hAnsi="Arial Narrow" w:cs="Times New Roman"/>
      <w:sz w:val="20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99925-E4C9-4341-AD35-35E7ED2F2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1401</Words>
  <Characters>7568</Characters>
  <Application>Microsoft Office Word</Application>
  <DocSecurity>0</DocSecurity>
  <Lines>63</Lines>
  <Paragraphs>17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dbrillaki</cp:lastModifiedBy>
  <cp:revision>18</cp:revision>
  <cp:lastPrinted>2017-05-02T08:39:00Z</cp:lastPrinted>
  <dcterms:created xsi:type="dcterms:W3CDTF">2016-12-08T10:01:00Z</dcterms:created>
  <dcterms:modified xsi:type="dcterms:W3CDTF">2017-05-02T08:40:00Z</dcterms:modified>
</cp:coreProperties>
</file>